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6C55F">
      <w:pPr>
        <w:adjustRightInd w:val="0"/>
        <w:snapToGrid w:val="0"/>
        <w:spacing w:before="312" w:beforeLines="100" w:after="312" w:afterLines="100" w:line="360" w:lineRule="auto"/>
        <w:jc w:val="center"/>
        <w:rPr>
          <w:rFonts w:ascii="宋体" w:hAnsi="宋体" w:eastAsia="宋体"/>
          <w:b/>
          <w:bCs/>
          <w:sz w:val="32"/>
          <w:szCs w:val="32"/>
          <w:highlight w:val="none"/>
        </w:rPr>
      </w:pPr>
      <w:bookmarkStart w:id="0" w:name="OLE_LINK12"/>
      <w:r>
        <w:rPr>
          <w:rFonts w:hint="eastAsia" w:ascii="宋体" w:hAnsi="宋体" w:eastAsia="宋体"/>
          <w:b/>
          <w:bCs/>
          <w:sz w:val="32"/>
          <w:szCs w:val="32"/>
          <w:highlight w:val="none"/>
        </w:rPr>
        <w:t>《肉鸭层叠式笼养管理技术规程》编制说明</w:t>
      </w:r>
    </w:p>
    <w:p w14:paraId="1DFAF150">
      <w:pPr>
        <w:spacing w:line="360" w:lineRule="auto"/>
        <w:jc w:val="left"/>
        <w:rPr>
          <w:rFonts w:hint="eastAsia" w:ascii="黑体" w:hAnsi="黑体" w:eastAsia="黑体"/>
          <w:sz w:val="28"/>
          <w:szCs w:val="28"/>
          <w:highlight w:val="none"/>
        </w:rPr>
      </w:pPr>
      <w:r>
        <w:rPr>
          <w:rFonts w:hint="eastAsia" w:ascii="黑体" w:hAnsi="黑体" w:eastAsia="黑体"/>
          <w:sz w:val="28"/>
          <w:szCs w:val="28"/>
          <w:highlight w:val="none"/>
        </w:rPr>
        <w:t>一、目的意义</w:t>
      </w:r>
    </w:p>
    <w:p w14:paraId="76F7D68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top"/>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我国肉鸭产业发展迅速，目前已成为肉鸭生产、消费、出口第一大国，肉鸭产业在保证禽肉市场供给、促进农民收入增加等方面</w:t>
      </w:r>
      <w:r>
        <w:rPr>
          <w:rFonts w:hint="eastAsia" w:cs="Times New Roman"/>
          <w:kern w:val="0"/>
          <w:sz w:val="24"/>
          <w:szCs w:val="24"/>
          <w:highlight w:val="none"/>
          <w:lang w:val="en-US" w:eastAsia="zh-CN" w:bidi="ar-SA"/>
        </w:rPr>
        <w:t>作出</w:t>
      </w:r>
      <w:r>
        <w:rPr>
          <w:rFonts w:hint="eastAsia" w:ascii="Times New Roman" w:hAnsi="Times New Roman" w:eastAsia="宋体" w:cs="Times New Roman"/>
          <w:kern w:val="0"/>
          <w:sz w:val="24"/>
          <w:szCs w:val="24"/>
          <w:highlight w:val="none"/>
          <w:lang w:val="en-US" w:eastAsia="zh-CN" w:bidi="ar-SA"/>
        </w:rPr>
        <w:t>了重大贡献。江苏省是全国肉鸭生产与消费大省，肉鸭产业也已成为江苏畜牧业的重要组成部分</w:t>
      </w:r>
      <w:r>
        <w:rPr>
          <w:rFonts w:hint="eastAsia" w:cs="Times New Roman"/>
          <w:kern w:val="0"/>
          <w:sz w:val="24"/>
          <w:szCs w:val="24"/>
          <w:highlight w:val="none"/>
          <w:lang w:val="en-US" w:eastAsia="zh-CN" w:bidi="ar-SA"/>
        </w:rPr>
        <w:t>。</w:t>
      </w:r>
      <w:r>
        <w:rPr>
          <w:rFonts w:hint="eastAsia" w:ascii="Times New Roman" w:hAnsi="Times New Roman" w:eastAsia="宋体" w:cs="Times New Roman"/>
          <w:kern w:val="0"/>
          <w:sz w:val="24"/>
          <w:szCs w:val="24"/>
          <w:highlight w:val="none"/>
          <w:lang w:val="en-US" w:eastAsia="zh-CN" w:bidi="ar-SA"/>
        </w:rPr>
        <w:t>特别是江苏沛县，作为中国最大的肉鸭养殖基地，其生态肉鸭在孵化、养殖、加工等环节的规模超过1亿羽，荣获“中国肉鸭之乡”的美誉。但是，我国肉鸭养殖模式多以地面散养和网床平养为主，存在设施装备落后、环境控制不足及粪污处理缺失等问题。近年来，随着水禽设施装备水平的提升，肉鸭层叠式笼养在国内迅速发展，相较于传统养殖模式具有显著优势。</w:t>
      </w:r>
    </w:p>
    <w:p w14:paraId="32E8591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top"/>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肉鸭层叠式笼养是指通过多层笼具堆叠，并配备自动化的饲喂、饮水、清粪等设备，提高单位面积饲养量的饲养</w:t>
      </w:r>
      <w:r>
        <w:rPr>
          <w:rFonts w:hint="eastAsia" w:cs="Times New Roman"/>
          <w:kern w:val="0"/>
          <w:sz w:val="24"/>
          <w:szCs w:val="24"/>
          <w:highlight w:val="none"/>
          <w:lang w:val="en-US" w:eastAsia="zh-CN" w:bidi="ar-SA"/>
        </w:rPr>
        <w:t>模式</w:t>
      </w:r>
      <w:r>
        <w:rPr>
          <w:rFonts w:hint="default" w:ascii="Times New Roman" w:hAnsi="Times New Roman" w:eastAsia="宋体" w:cs="Times New Roman"/>
          <w:kern w:val="0"/>
          <w:sz w:val="24"/>
          <w:szCs w:val="24"/>
          <w:highlight w:val="none"/>
          <w:lang w:val="en-US" w:eastAsia="zh-CN" w:bidi="ar-SA"/>
        </w:rPr>
        <w:t>。</w:t>
      </w:r>
      <w:r>
        <w:rPr>
          <w:rFonts w:hint="eastAsia" w:cs="Times New Roman"/>
          <w:kern w:val="0"/>
          <w:sz w:val="24"/>
          <w:szCs w:val="24"/>
          <w:highlight w:val="none"/>
          <w:lang w:val="en-US" w:eastAsia="zh-CN" w:bidi="ar-SA"/>
        </w:rPr>
        <w:t>该模式</w:t>
      </w:r>
      <w:r>
        <w:rPr>
          <w:rFonts w:hint="eastAsia" w:ascii="Times New Roman" w:hAnsi="Times New Roman" w:eastAsia="宋体" w:cs="Times New Roman"/>
          <w:kern w:val="0"/>
          <w:sz w:val="24"/>
          <w:szCs w:val="24"/>
          <w:highlight w:val="none"/>
          <w:lang w:val="en-US" w:eastAsia="zh-CN" w:bidi="ar-SA"/>
        </w:rPr>
        <w:t>一般采用单列直立式三层或四层笼养</w:t>
      </w:r>
      <w:r>
        <w:rPr>
          <w:rFonts w:hint="eastAsia" w:cs="Times New Roman"/>
          <w:kern w:val="0"/>
          <w:sz w:val="24"/>
          <w:szCs w:val="24"/>
          <w:highlight w:val="none"/>
          <w:lang w:val="en-US" w:eastAsia="zh-CN" w:bidi="ar-SA"/>
        </w:rPr>
        <w:t>，</w:t>
      </w:r>
      <w:r>
        <w:rPr>
          <w:rFonts w:hint="eastAsia" w:ascii="Times New Roman" w:hAnsi="Times New Roman" w:eastAsia="宋体" w:cs="Times New Roman"/>
          <w:kern w:val="0"/>
          <w:sz w:val="24"/>
          <w:szCs w:val="24"/>
          <w:highlight w:val="none"/>
          <w:lang w:val="en-US" w:eastAsia="zh-CN" w:bidi="ar-SA"/>
        </w:rPr>
        <w:t>配备自动行车加料系统和环控系统，且每层笼具下设有清粪传送带，是一种安全、科技化的现代养殖模式。此技术已相对成熟，能有效利用空间，提高养殖密度和产量，降低成本，同时减少养殖污染，改善养殖环境。因此，肉鸭层叠式笼养技术已在养殖业中广泛应用和推广，标志着传统养殖模式向规模化、标准化、自动化转型的产业升级趋势。</w:t>
      </w:r>
    </w:p>
    <w:p w14:paraId="0F9A145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top"/>
        <w:rPr>
          <w:rFonts w:hint="default"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尽管我国肉鸭层叠式笼养的养殖模式具有良好的发展前景，但</w:t>
      </w:r>
      <w:r>
        <w:rPr>
          <w:rFonts w:hint="eastAsia" w:cs="Times New Roman"/>
          <w:kern w:val="0"/>
          <w:sz w:val="24"/>
          <w:szCs w:val="24"/>
          <w:highlight w:val="none"/>
          <w:lang w:val="en-US" w:eastAsia="zh-CN" w:bidi="ar-SA"/>
        </w:rPr>
        <w:t>由于尚未</w:t>
      </w:r>
      <w:r>
        <w:rPr>
          <w:rFonts w:hint="eastAsia" w:ascii="Times New Roman" w:hAnsi="Times New Roman" w:eastAsia="宋体" w:cs="Times New Roman"/>
          <w:kern w:val="0"/>
          <w:sz w:val="24"/>
          <w:szCs w:val="24"/>
          <w:highlight w:val="none"/>
          <w:lang w:val="en-US" w:eastAsia="zh-CN" w:bidi="ar-SA"/>
        </w:rPr>
        <w:t>规范化和标准化，仍然存在诸多问题和隐患，</w:t>
      </w:r>
      <w:r>
        <w:rPr>
          <w:rFonts w:hint="eastAsia" w:cs="Times New Roman"/>
          <w:kern w:val="0"/>
          <w:sz w:val="24"/>
          <w:szCs w:val="24"/>
          <w:highlight w:val="none"/>
          <w:lang w:val="en-US" w:eastAsia="zh-CN" w:bidi="ar-SA"/>
        </w:rPr>
        <w:t>例如</w:t>
      </w:r>
      <w:r>
        <w:rPr>
          <w:rFonts w:hint="eastAsia" w:ascii="Times New Roman" w:hAnsi="Times New Roman" w:eastAsia="宋体" w:cs="Times New Roman"/>
          <w:kern w:val="0"/>
          <w:sz w:val="24"/>
          <w:szCs w:val="24"/>
          <w:highlight w:val="none"/>
          <w:lang w:val="en-US" w:eastAsia="zh-CN" w:bidi="ar-SA"/>
        </w:rPr>
        <w:t>养殖环境狭窄、空气不流通引发的肉鸭感染和呼吸道疾病等。因此，迫切需要制定肉鸭层叠式笼养技术标准，以适应江苏省肉鸭养殖产业的实际情况，解决当前面临的问题。</w:t>
      </w:r>
      <w:r>
        <w:rPr>
          <w:rFonts w:hint="eastAsia" w:cs="Times New Roman"/>
          <w:kern w:val="0"/>
          <w:sz w:val="24"/>
          <w:szCs w:val="24"/>
          <w:highlight w:val="none"/>
          <w:lang w:val="en-US" w:eastAsia="zh-CN" w:bidi="ar-SA"/>
        </w:rPr>
        <w:t>标准制定团队</w:t>
      </w:r>
      <w:r>
        <w:rPr>
          <w:rFonts w:hint="default" w:ascii="Times New Roman" w:hAnsi="Times New Roman" w:eastAsia="宋体" w:cs="Times New Roman"/>
          <w:kern w:val="0"/>
          <w:sz w:val="24"/>
          <w:szCs w:val="24"/>
          <w:highlight w:val="none"/>
          <w:lang w:val="en-US" w:eastAsia="zh-CN" w:bidi="ar-SA"/>
        </w:rPr>
        <w:t>长期致力于肉鸭养殖设施结构标准化、养殖环境管控</w:t>
      </w:r>
      <w:r>
        <w:rPr>
          <w:rFonts w:hint="eastAsia" w:cs="Times New Roman"/>
          <w:kern w:val="0"/>
          <w:sz w:val="24"/>
          <w:szCs w:val="24"/>
          <w:highlight w:val="none"/>
          <w:lang w:val="en-US" w:eastAsia="zh-CN" w:bidi="ar-SA"/>
        </w:rPr>
        <w:t>及疫病防控技术等</w:t>
      </w:r>
      <w:r>
        <w:rPr>
          <w:rFonts w:hint="default" w:ascii="Times New Roman" w:hAnsi="Times New Roman" w:eastAsia="宋体" w:cs="Times New Roman"/>
          <w:kern w:val="0"/>
          <w:sz w:val="24"/>
          <w:szCs w:val="24"/>
          <w:highlight w:val="none"/>
          <w:lang w:val="en-US" w:eastAsia="zh-CN" w:bidi="ar-SA"/>
        </w:rPr>
        <w:t>研究，已形成一套成熟的肉鸭层叠式笼养管理技术，并在江苏益客食品集团股份有限公司等</w:t>
      </w:r>
      <w:r>
        <w:rPr>
          <w:rFonts w:hint="eastAsia" w:cs="Times New Roman"/>
          <w:kern w:val="0"/>
          <w:sz w:val="24"/>
          <w:szCs w:val="24"/>
          <w:highlight w:val="none"/>
          <w:lang w:val="en-US" w:eastAsia="zh-CN" w:bidi="ar-SA"/>
        </w:rPr>
        <w:t>企业</w:t>
      </w:r>
      <w:r>
        <w:rPr>
          <w:rFonts w:hint="default" w:ascii="Times New Roman" w:hAnsi="Times New Roman" w:eastAsia="宋体" w:cs="Times New Roman"/>
          <w:kern w:val="0"/>
          <w:sz w:val="24"/>
          <w:szCs w:val="24"/>
          <w:highlight w:val="none"/>
          <w:lang w:val="en-US" w:eastAsia="zh-CN" w:bidi="ar-SA"/>
        </w:rPr>
        <w:t>进行了</w:t>
      </w:r>
      <w:r>
        <w:rPr>
          <w:rFonts w:hint="eastAsia" w:cs="Times New Roman"/>
          <w:kern w:val="0"/>
          <w:sz w:val="24"/>
          <w:szCs w:val="24"/>
          <w:highlight w:val="none"/>
          <w:lang w:val="en-US" w:eastAsia="zh-CN" w:bidi="ar-SA"/>
        </w:rPr>
        <w:t>应用</w:t>
      </w:r>
      <w:r>
        <w:rPr>
          <w:rFonts w:hint="default" w:ascii="Times New Roman" w:hAnsi="Times New Roman" w:eastAsia="宋体" w:cs="Times New Roman"/>
          <w:kern w:val="0"/>
          <w:sz w:val="24"/>
          <w:szCs w:val="24"/>
          <w:highlight w:val="none"/>
          <w:lang w:val="en-US" w:eastAsia="zh-CN" w:bidi="ar-SA"/>
        </w:rPr>
        <w:t>，通过标准的制定和实施，将更好地</w:t>
      </w:r>
      <w:r>
        <w:rPr>
          <w:rFonts w:hint="eastAsia" w:cs="Times New Roman"/>
          <w:kern w:val="0"/>
          <w:sz w:val="24"/>
          <w:szCs w:val="24"/>
          <w:highlight w:val="none"/>
          <w:lang w:val="en-US" w:eastAsia="zh-CN" w:bidi="ar-SA"/>
        </w:rPr>
        <w:t>推动</w:t>
      </w:r>
      <w:r>
        <w:rPr>
          <w:rFonts w:hint="default" w:ascii="Times New Roman" w:hAnsi="Times New Roman" w:eastAsia="宋体" w:cs="Times New Roman"/>
          <w:kern w:val="0"/>
          <w:sz w:val="24"/>
          <w:szCs w:val="24"/>
          <w:highlight w:val="none"/>
          <w:lang w:val="en-US" w:eastAsia="zh-CN" w:bidi="ar-SA"/>
        </w:rPr>
        <w:t>肉鸭养殖的</w:t>
      </w:r>
      <w:r>
        <w:rPr>
          <w:rFonts w:hint="eastAsia" w:cs="Times New Roman"/>
          <w:kern w:val="0"/>
          <w:sz w:val="24"/>
          <w:szCs w:val="24"/>
          <w:highlight w:val="none"/>
          <w:lang w:val="en-US" w:eastAsia="zh-CN" w:bidi="ar-SA"/>
        </w:rPr>
        <w:t>规模化、标准化</w:t>
      </w:r>
      <w:r>
        <w:rPr>
          <w:rFonts w:hint="default" w:ascii="Times New Roman" w:hAnsi="Times New Roman" w:eastAsia="宋体" w:cs="Times New Roman"/>
          <w:kern w:val="0"/>
          <w:sz w:val="24"/>
          <w:szCs w:val="24"/>
          <w:highlight w:val="none"/>
          <w:lang w:val="en-US" w:eastAsia="zh-CN" w:bidi="ar-SA"/>
        </w:rPr>
        <w:t>，促进肉鸭</w:t>
      </w:r>
      <w:r>
        <w:rPr>
          <w:rFonts w:hint="eastAsia" w:cs="Times New Roman"/>
          <w:kern w:val="0"/>
          <w:sz w:val="24"/>
          <w:szCs w:val="24"/>
          <w:highlight w:val="none"/>
          <w:lang w:val="en-US" w:eastAsia="zh-CN" w:bidi="ar-SA"/>
        </w:rPr>
        <w:t>产业</w:t>
      </w:r>
      <w:r>
        <w:rPr>
          <w:rFonts w:hint="default" w:ascii="Times New Roman" w:hAnsi="Times New Roman" w:eastAsia="宋体" w:cs="Times New Roman"/>
          <w:kern w:val="0"/>
          <w:sz w:val="24"/>
          <w:szCs w:val="24"/>
          <w:highlight w:val="none"/>
          <w:lang w:val="en-US" w:eastAsia="zh-CN" w:bidi="ar-SA"/>
        </w:rPr>
        <w:t>的高质量健康发展。</w:t>
      </w:r>
    </w:p>
    <w:p w14:paraId="1A7D01B8">
      <w:pPr>
        <w:spacing w:line="360" w:lineRule="auto"/>
        <w:jc w:val="left"/>
        <w:rPr>
          <w:rFonts w:hint="eastAsia" w:ascii="黑体" w:hAnsi="黑体" w:eastAsia="黑体"/>
          <w:sz w:val="28"/>
          <w:szCs w:val="28"/>
          <w:highlight w:val="none"/>
        </w:rPr>
      </w:pPr>
      <w:r>
        <w:rPr>
          <w:rFonts w:hint="eastAsia" w:ascii="黑体" w:hAnsi="黑体" w:eastAsia="黑体"/>
          <w:sz w:val="28"/>
          <w:szCs w:val="28"/>
          <w:highlight w:val="none"/>
          <w:lang w:val="en-US" w:eastAsia="zh-CN"/>
        </w:rPr>
        <w:t>二</w:t>
      </w:r>
      <w:r>
        <w:rPr>
          <w:rFonts w:hint="eastAsia" w:ascii="黑体" w:hAnsi="黑体" w:eastAsia="黑体"/>
          <w:sz w:val="28"/>
          <w:szCs w:val="28"/>
          <w:highlight w:val="none"/>
        </w:rPr>
        <w:t>、任务来源</w:t>
      </w:r>
    </w:p>
    <w:p w14:paraId="44297CA6">
      <w:pPr>
        <w:spacing w:line="360" w:lineRule="auto"/>
        <w:ind w:firstLine="480" w:firstLineChars="200"/>
        <w:rPr>
          <w:rFonts w:hint="default" w:ascii="黑体" w:hAnsi="黑体" w:eastAsia="黑体"/>
          <w:sz w:val="28"/>
          <w:szCs w:val="28"/>
          <w:highlight w:val="none"/>
          <w:lang w:val="en-US" w:eastAsia="zh-CN"/>
        </w:rPr>
      </w:pPr>
      <w:r>
        <w:rPr>
          <w:rFonts w:ascii="Times New Roman" w:hAnsi="Times New Roman" w:eastAsia="宋体" w:cs="Times New Roman"/>
          <w:sz w:val="24"/>
          <w:szCs w:val="24"/>
          <w:highlight w:val="none"/>
        </w:rPr>
        <w:t>根据江苏省市场监督管理局《关于下达2023年度江苏省地方标准项目计划的通知》（苏市监标〔2023〕173 号），立项计划汇总表中《</w:t>
      </w:r>
      <w:r>
        <w:rPr>
          <w:rFonts w:hint="eastAsia" w:ascii="Times New Roman" w:hAnsi="Times New Roman" w:eastAsia="宋体" w:cs="Times New Roman"/>
          <w:sz w:val="24"/>
          <w:szCs w:val="24"/>
          <w:highlight w:val="none"/>
        </w:rPr>
        <w:t>肉鸭层叠式笼养管理技术规程</w:t>
      </w:r>
      <w:r>
        <w:rPr>
          <w:rFonts w:ascii="Times New Roman" w:hAnsi="Times New Roman" w:eastAsia="宋体" w:cs="Times New Roman"/>
          <w:sz w:val="24"/>
          <w:szCs w:val="24"/>
          <w:highlight w:val="none"/>
        </w:rPr>
        <w:t>》（立项编号</w:t>
      </w:r>
      <w:r>
        <w:rPr>
          <w:rFonts w:hint="eastAsia" w:cs="Times New Roman"/>
          <w:sz w:val="24"/>
          <w:szCs w:val="24"/>
          <w:highlight w:val="none"/>
          <w:lang w:val="en-US" w:eastAsia="zh-CN"/>
        </w:rPr>
        <w:t>134</w:t>
      </w:r>
      <w:r>
        <w:rPr>
          <w:rFonts w:ascii="Times New Roman" w:hAnsi="Times New Roman" w:eastAsia="宋体" w:cs="Times New Roman"/>
          <w:sz w:val="24"/>
          <w:szCs w:val="24"/>
          <w:highlight w:val="none"/>
        </w:rPr>
        <w:t>）由</w:t>
      </w:r>
      <w:r>
        <w:rPr>
          <w:rFonts w:hint="eastAsia" w:cs="Times New Roman"/>
          <w:sz w:val="24"/>
          <w:szCs w:val="24"/>
          <w:highlight w:val="none"/>
          <w:lang w:val="en-US" w:eastAsia="zh-CN"/>
        </w:rPr>
        <w:t>江苏省农业科学院</w:t>
      </w:r>
      <w:r>
        <w:rPr>
          <w:rFonts w:ascii="Times New Roman" w:hAnsi="Times New Roman" w:eastAsia="宋体" w:cs="Times New Roman"/>
          <w:sz w:val="24"/>
          <w:szCs w:val="24"/>
          <w:highlight w:val="none"/>
        </w:rPr>
        <w:t>等单位负责制定。标准制定联系人：</w:t>
      </w:r>
      <w:r>
        <w:rPr>
          <w:rFonts w:hint="eastAsia" w:cs="Times New Roman"/>
          <w:sz w:val="24"/>
          <w:szCs w:val="24"/>
          <w:highlight w:val="none"/>
          <w:lang w:val="en-US" w:eastAsia="zh-CN"/>
        </w:rPr>
        <w:t>庞茂达</w:t>
      </w:r>
      <w:r>
        <w:rPr>
          <w:rFonts w:ascii="Times New Roman" w:hAnsi="Times New Roman" w:eastAsia="宋体" w:cs="Times New Roman"/>
          <w:sz w:val="24"/>
          <w:szCs w:val="24"/>
          <w:highlight w:val="none"/>
        </w:rPr>
        <w:t>，联系电话：</w:t>
      </w:r>
      <w:r>
        <w:rPr>
          <w:rFonts w:hint="eastAsia" w:cs="Times New Roman"/>
          <w:sz w:val="24"/>
          <w:szCs w:val="24"/>
          <w:highlight w:val="none"/>
          <w:lang w:val="en-US" w:eastAsia="zh-CN"/>
        </w:rPr>
        <w:t>13776668736</w:t>
      </w:r>
      <w:r>
        <w:rPr>
          <w:rFonts w:ascii="Times New Roman" w:hAnsi="Times New Roman" w:eastAsia="宋体" w:cs="Times New Roman"/>
          <w:sz w:val="24"/>
          <w:szCs w:val="24"/>
          <w:highlight w:val="none"/>
        </w:rPr>
        <w:t>。</w:t>
      </w:r>
    </w:p>
    <w:p w14:paraId="1D360854">
      <w:pPr>
        <w:spacing w:line="360" w:lineRule="auto"/>
        <w:jc w:val="left"/>
        <w:rPr>
          <w:rFonts w:hint="eastAsia" w:ascii="黑体" w:hAnsi="黑体" w:eastAsia="黑体"/>
          <w:sz w:val="28"/>
          <w:szCs w:val="28"/>
          <w:highlight w:val="none"/>
        </w:rPr>
      </w:pPr>
      <w:r>
        <w:rPr>
          <w:rFonts w:hint="eastAsia" w:ascii="黑体" w:hAnsi="黑体" w:eastAsia="黑体"/>
          <w:sz w:val="28"/>
          <w:szCs w:val="28"/>
          <w:highlight w:val="none"/>
          <w:lang w:val="en-US" w:eastAsia="zh-CN"/>
        </w:rPr>
        <w:t>三</w:t>
      </w:r>
      <w:r>
        <w:rPr>
          <w:rFonts w:hint="eastAsia" w:ascii="黑体" w:hAnsi="黑体" w:eastAsia="黑体"/>
          <w:sz w:val="28"/>
          <w:szCs w:val="28"/>
          <w:highlight w:val="none"/>
        </w:rPr>
        <w:t>、起草单位和起草人员信息及分工</w:t>
      </w:r>
    </w:p>
    <w:p w14:paraId="343A0B9E">
      <w:pPr>
        <w:spacing w:line="360" w:lineRule="auto"/>
        <w:ind w:firstLine="480" w:firstLineChars="200"/>
        <w:jc w:val="left"/>
        <w:rPr>
          <w:rFonts w:ascii="黑体" w:hAnsi="黑体" w:eastAsia="黑体" w:cs="Times New Roman"/>
          <w:sz w:val="24"/>
          <w:szCs w:val="24"/>
          <w:highlight w:val="none"/>
        </w:rPr>
      </w:pPr>
      <w:r>
        <w:rPr>
          <w:rFonts w:ascii="黑体" w:hAnsi="黑体" w:eastAsia="黑体" w:cs="Times New Roman"/>
          <w:sz w:val="24"/>
          <w:szCs w:val="24"/>
          <w:highlight w:val="none"/>
        </w:rPr>
        <w:t>（一）起草单位</w:t>
      </w:r>
    </w:p>
    <w:p w14:paraId="48586BC9">
      <w:pPr>
        <w:spacing w:line="360" w:lineRule="auto"/>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highlight w:val="none"/>
        </w:rPr>
        <w:t>江苏省农业科学院、扬州大学、江苏益客食品集团股份有限公司</w:t>
      </w:r>
      <w:r>
        <w:rPr>
          <w:rFonts w:ascii="Times New Roman" w:hAnsi="Times New Roman" w:eastAsia="宋体" w:cs="Times New Roman"/>
          <w:sz w:val="24"/>
          <w:szCs w:val="24"/>
          <w:highlight w:val="none"/>
        </w:rPr>
        <w:t>。</w:t>
      </w:r>
    </w:p>
    <w:p w14:paraId="09892639">
      <w:pPr>
        <w:spacing w:line="360" w:lineRule="auto"/>
        <w:ind w:firstLine="480" w:firstLineChars="200"/>
        <w:jc w:val="left"/>
        <w:rPr>
          <w:rFonts w:ascii="黑体" w:hAnsi="黑体" w:eastAsia="黑体" w:cs="Times New Roman"/>
          <w:sz w:val="24"/>
          <w:szCs w:val="24"/>
          <w:highlight w:val="none"/>
        </w:rPr>
      </w:pPr>
      <w:r>
        <w:rPr>
          <w:rFonts w:ascii="黑体" w:hAnsi="黑体" w:eastAsia="黑体" w:cs="Times New Roman"/>
          <w:sz w:val="24"/>
          <w:szCs w:val="24"/>
          <w:highlight w:val="none"/>
        </w:rPr>
        <w:t>（二）起草人员信息及分工</w:t>
      </w:r>
    </w:p>
    <w:p w14:paraId="10ECA7B7">
      <w:pPr>
        <w:spacing w:line="360" w:lineRule="auto"/>
        <w:ind w:firstLine="42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标准起草人信息及分工情况见下表1。</w:t>
      </w:r>
    </w:p>
    <w:p w14:paraId="7557FCBF">
      <w:pPr>
        <w:spacing w:line="360" w:lineRule="auto"/>
        <w:jc w:val="center"/>
        <w:rPr>
          <w:rFonts w:ascii="黑体" w:hAnsi="黑体" w:eastAsia="黑体"/>
          <w:szCs w:val="21"/>
          <w:highlight w:val="none"/>
        </w:rPr>
      </w:pPr>
      <w:r>
        <w:rPr>
          <w:rFonts w:hint="eastAsia" w:ascii="黑体" w:hAnsi="黑体" w:eastAsia="黑体"/>
          <w:szCs w:val="21"/>
          <w:highlight w:val="none"/>
        </w:rPr>
        <w:t>表1 起草人员信息及分工</w:t>
      </w:r>
    </w:p>
    <w:tbl>
      <w:tblPr>
        <w:tblStyle w:val="9"/>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3"/>
        <w:gridCol w:w="1704"/>
        <w:gridCol w:w="3172"/>
        <w:gridCol w:w="2530"/>
      </w:tblGrid>
      <w:tr w14:paraId="12247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6BAAF3CD">
            <w:pPr>
              <w:adjustRightInd w:val="0"/>
              <w:snapToGrid w:val="0"/>
              <w:jc w:val="center"/>
              <w:rPr>
                <w:rFonts w:ascii="宋体" w:hAnsi="宋体" w:eastAsia="宋体" w:cs="Times New Roman"/>
                <w:kern w:val="0"/>
                <w:sz w:val="21"/>
                <w:szCs w:val="21"/>
                <w:highlight w:val="none"/>
              </w:rPr>
            </w:pPr>
            <w:r>
              <w:rPr>
                <w:rFonts w:hint="eastAsia" w:ascii="宋体" w:hAnsi="宋体" w:eastAsia="宋体" w:cs="Times New Roman"/>
                <w:kern w:val="0"/>
                <w:sz w:val="21"/>
                <w:szCs w:val="21"/>
                <w:highlight w:val="none"/>
              </w:rPr>
              <w:t>起草人员</w:t>
            </w:r>
          </w:p>
        </w:tc>
        <w:tc>
          <w:tcPr>
            <w:tcW w:w="1000" w:type="pct"/>
            <w:tcBorders>
              <w:tl2br w:val="nil"/>
              <w:tr2bl w:val="nil"/>
            </w:tcBorders>
            <w:vAlign w:val="center"/>
          </w:tcPr>
          <w:p w14:paraId="4BA4BDC2">
            <w:pPr>
              <w:adjustRightInd w:val="0"/>
              <w:snapToGrid w:val="0"/>
              <w:jc w:val="center"/>
              <w:rPr>
                <w:rFonts w:ascii="宋体" w:hAnsi="宋体" w:eastAsia="宋体" w:cs="Times New Roman"/>
                <w:kern w:val="0"/>
                <w:sz w:val="21"/>
                <w:szCs w:val="21"/>
                <w:highlight w:val="none"/>
              </w:rPr>
            </w:pPr>
            <w:r>
              <w:rPr>
                <w:rFonts w:hint="eastAsia" w:ascii="宋体" w:hAnsi="宋体" w:eastAsia="宋体" w:cs="Times New Roman"/>
                <w:kern w:val="0"/>
                <w:sz w:val="21"/>
                <w:szCs w:val="21"/>
                <w:highlight w:val="none"/>
              </w:rPr>
              <w:t>职务/职称</w:t>
            </w:r>
          </w:p>
        </w:tc>
        <w:tc>
          <w:tcPr>
            <w:tcW w:w="1861" w:type="pct"/>
            <w:tcBorders>
              <w:tl2br w:val="nil"/>
              <w:tr2bl w:val="nil"/>
            </w:tcBorders>
            <w:vAlign w:val="center"/>
          </w:tcPr>
          <w:p w14:paraId="0550DCEA">
            <w:pPr>
              <w:adjustRightInd w:val="0"/>
              <w:snapToGrid w:val="0"/>
              <w:jc w:val="center"/>
              <w:rPr>
                <w:rFonts w:ascii="宋体" w:hAnsi="宋体" w:eastAsia="宋体" w:cs="Times New Roman"/>
                <w:kern w:val="0"/>
                <w:sz w:val="21"/>
                <w:szCs w:val="21"/>
                <w:highlight w:val="none"/>
              </w:rPr>
            </w:pPr>
            <w:r>
              <w:rPr>
                <w:rFonts w:hint="eastAsia" w:ascii="宋体" w:hAnsi="宋体" w:eastAsia="宋体" w:cs="Times New Roman"/>
                <w:kern w:val="0"/>
                <w:sz w:val="21"/>
                <w:szCs w:val="21"/>
                <w:highlight w:val="none"/>
              </w:rPr>
              <w:t>单位</w:t>
            </w:r>
          </w:p>
        </w:tc>
        <w:tc>
          <w:tcPr>
            <w:tcW w:w="1484" w:type="pct"/>
            <w:tcBorders>
              <w:tl2br w:val="nil"/>
              <w:tr2bl w:val="nil"/>
            </w:tcBorders>
            <w:vAlign w:val="center"/>
          </w:tcPr>
          <w:p w14:paraId="13D84DA3">
            <w:pPr>
              <w:adjustRightInd w:val="0"/>
              <w:snapToGrid w:val="0"/>
              <w:jc w:val="center"/>
              <w:rPr>
                <w:rFonts w:ascii="宋体" w:hAnsi="宋体" w:eastAsia="宋体" w:cs="Times New Roman"/>
                <w:kern w:val="0"/>
                <w:sz w:val="21"/>
                <w:szCs w:val="21"/>
                <w:highlight w:val="none"/>
              </w:rPr>
            </w:pPr>
            <w:r>
              <w:rPr>
                <w:rFonts w:hint="eastAsia" w:ascii="宋体" w:hAnsi="宋体" w:eastAsia="宋体" w:cs="Times New Roman"/>
                <w:kern w:val="0"/>
                <w:sz w:val="21"/>
                <w:szCs w:val="21"/>
                <w:highlight w:val="none"/>
              </w:rPr>
              <w:t>分工</w:t>
            </w:r>
          </w:p>
        </w:tc>
      </w:tr>
      <w:tr w14:paraId="2371F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49F993D2">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庞茂达</w:t>
            </w:r>
          </w:p>
        </w:tc>
        <w:tc>
          <w:tcPr>
            <w:tcW w:w="1000" w:type="pct"/>
            <w:tcBorders>
              <w:tl2br w:val="nil"/>
              <w:tr2bl w:val="nil"/>
            </w:tcBorders>
            <w:vAlign w:val="center"/>
          </w:tcPr>
          <w:p w14:paraId="748A7C88">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副研究员</w:t>
            </w:r>
          </w:p>
        </w:tc>
        <w:tc>
          <w:tcPr>
            <w:tcW w:w="1861" w:type="pct"/>
            <w:tcBorders>
              <w:tl2br w:val="nil"/>
              <w:tr2bl w:val="nil"/>
            </w:tcBorders>
            <w:vAlign w:val="center"/>
          </w:tcPr>
          <w:p w14:paraId="35AAE3EB">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255CEE96">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负责标准</w:t>
            </w:r>
            <w:r>
              <w:rPr>
                <w:rFonts w:hint="eastAsia" w:ascii="宋体" w:hAnsi="宋体" w:cs="Times New Roman"/>
                <w:kern w:val="0"/>
                <w:sz w:val="21"/>
                <w:szCs w:val="21"/>
                <w:highlight w:val="none"/>
                <w:lang w:val="en-US" w:eastAsia="zh-CN"/>
              </w:rPr>
              <w:t>起草、</w:t>
            </w:r>
            <w:r>
              <w:rPr>
                <w:rFonts w:hint="eastAsia" w:ascii="宋体" w:hAnsi="宋体" w:eastAsia="宋体" w:cs="Times New Roman"/>
                <w:kern w:val="0"/>
                <w:sz w:val="21"/>
                <w:szCs w:val="21"/>
                <w:highlight w:val="none"/>
                <w:lang w:val="en-US" w:eastAsia="zh-CN"/>
              </w:rPr>
              <w:t>实施</w:t>
            </w:r>
          </w:p>
          <w:p w14:paraId="561A2EE5">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和</w:t>
            </w:r>
            <w:r>
              <w:rPr>
                <w:rFonts w:hint="eastAsia" w:ascii="宋体" w:hAnsi="宋体" w:cs="Times New Roman"/>
                <w:kern w:val="0"/>
                <w:sz w:val="21"/>
                <w:szCs w:val="21"/>
                <w:highlight w:val="none"/>
                <w:lang w:val="en-US" w:eastAsia="zh-CN"/>
              </w:rPr>
              <w:t>验证</w:t>
            </w:r>
          </w:p>
        </w:tc>
      </w:tr>
      <w:tr w14:paraId="68FC3C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65AC2FB4">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王冉</w:t>
            </w:r>
          </w:p>
        </w:tc>
        <w:tc>
          <w:tcPr>
            <w:tcW w:w="1000" w:type="pct"/>
            <w:tcBorders>
              <w:tl2br w:val="nil"/>
              <w:tr2bl w:val="nil"/>
            </w:tcBorders>
            <w:vAlign w:val="center"/>
          </w:tcPr>
          <w:p w14:paraId="1892A0E8">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副院长</w:t>
            </w:r>
            <w:r>
              <w:rPr>
                <w:rFonts w:hint="eastAsia" w:ascii="宋体" w:hAnsi="宋体" w:eastAsia="宋体" w:cs="Times New Roman"/>
                <w:kern w:val="0"/>
                <w:sz w:val="21"/>
                <w:szCs w:val="21"/>
                <w:highlight w:val="none"/>
                <w:lang w:val="en-US" w:eastAsia="zh-CN"/>
              </w:rPr>
              <w:t>/研究员</w:t>
            </w:r>
          </w:p>
        </w:tc>
        <w:tc>
          <w:tcPr>
            <w:tcW w:w="1861" w:type="pct"/>
            <w:tcBorders>
              <w:tl2br w:val="nil"/>
              <w:tr2bl w:val="nil"/>
            </w:tcBorders>
            <w:vAlign w:val="center"/>
          </w:tcPr>
          <w:p w14:paraId="5B951788">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5950A786">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负责标准</w:t>
            </w:r>
            <w:r>
              <w:rPr>
                <w:rFonts w:hint="eastAsia" w:ascii="宋体" w:hAnsi="宋体" w:cs="Times New Roman"/>
                <w:kern w:val="0"/>
                <w:sz w:val="21"/>
                <w:szCs w:val="21"/>
                <w:highlight w:val="none"/>
                <w:lang w:val="en-US" w:eastAsia="zh-CN"/>
              </w:rPr>
              <w:t>起草、</w:t>
            </w:r>
            <w:r>
              <w:rPr>
                <w:rFonts w:hint="eastAsia" w:ascii="宋体" w:hAnsi="宋体" w:eastAsia="宋体" w:cs="Times New Roman"/>
                <w:kern w:val="0"/>
                <w:sz w:val="21"/>
                <w:szCs w:val="21"/>
                <w:highlight w:val="none"/>
                <w:lang w:val="en-US" w:eastAsia="zh-CN"/>
              </w:rPr>
              <w:t>实施</w:t>
            </w:r>
          </w:p>
          <w:p w14:paraId="0DD70473">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和</w:t>
            </w:r>
            <w:r>
              <w:rPr>
                <w:rFonts w:hint="eastAsia" w:ascii="宋体" w:hAnsi="宋体" w:cs="Times New Roman"/>
                <w:kern w:val="0"/>
                <w:sz w:val="21"/>
                <w:szCs w:val="21"/>
                <w:highlight w:val="none"/>
                <w:lang w:val="en-US" w:eastAsia="zh-CN"/>
              </w:rPr>
              <w:t>验证</w:t>
            </w:r>
          </w:p>
        </w:tc>
      </w:tr>
      <w:tr w14:paraId="67634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1093D1BB">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林勇</w:t>
            </w:r>
          </w:p>
        </w:tc>
        <w:tc>
          <w:tcPr>
            <w:tcW w:w="1000" w:type="pct"/>
            <w:tcBorders>
              <w:tl2br w:val="nil"/>
              <w:tr2bl w:val="nil"/>
            </w:tcBorders>
            <w:vAlign w:val="center"/>
          </w:tcPr>
          <w:p w14:paraId="53A10A9A">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副研究员</w:t>
            </w:r>
          </w:p>
        </w:tc>
        <w:tc>
          <w:tcPr>
            <w:tcW w:w="1861" w:type="pct"/>
            <w:tcBorders>
              <w:tl2br w:val="nil"/>
              <w:tr2bl w:val="nil"/>
            </w:tcBorders>
            <w:vAlign w:val="center"/>
          </w:tcPr>
          <w:p w14:paraId="0DBC3683">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167C731F">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起草标准文本、修改</w:t>
            </w:r>
          </w:p>
        </w:tc>
      </w:tr>
      <w:tr w14:paraId="139C0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7494E720">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谢星</w:t>
            </w:r>
          </w:p>
        </w:tc>
        <w:tc>
          <w:tcPr>
            <w:tcW w:w="1000" w:type="pct"/>
            <w:tcBorders>
              <w:tl2br w:val="nil"/>
              <w:tr2bl w:val="nil"/>
            </w:tcBorders>
            <w:vAlign w:val="center"/>
          </w:tcPr>
          <w:p w14:paraId="56741EA5">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副研究员</w:t>
            </w:r>
          </w:p>
        </w:tc>
        <w:tc>
          <w:tcPr>
            <w:tcW w:w="1861" w:type="pct"/>
            <w:tcBorders>
              <w:tl2br w:val="nil"/>
              <w:tr2bl w:val="nil"/>
            </w:tcBorders>
            <w:vAlign w:val="center"/>
          </w:tcPr>
          <w:p w14:paraId="401E1703">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09193FB1">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起草标准文本、修改</w:t>
            </w:r>
          </w:p>
        </w:tc>
      </w:tr>
      <w:tr w14:paraId="680DB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78FF835A">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孙利厂</w:t>
            </w:r>
          </w:p>
        </w:tc>
        <w:tc>
          <w:tcPr>
            <w:tcW w:w="1000" w:type="pct"/>
            <w:tcBorders>
              <w:tl2br w:val="nil"/>
              <w:tr2bl w:val="nil"/>
            </w:tcBorders>
            <w:vAlign w:val="center"/>
          </w:tcPr>
          <w:p w14:paraId="75E63A41">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副研究员</w:t>
            </w:r>
          </w:p>
        </w:tc>
        <w:tc>
          <w:tcPr>
            <w:tcW w:w="1861" w:type="pct"/>
            <w:tcBorders>
              <w:tl2br w:val="nil"/>
              <w:tr2bl w:val="nil"/>
            </w:tcBorders>
            <w:vAlign w:val="center"/>
          </w:tcPr>
          <w:p w14:paraId="7AA559D7">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0551264D">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标准文本</w:t>
            </w:r>
            <w:r>
              <w:rPr>
                <w:rFonts w:hint="eastAsia" w:ascii="宋体" w:hAnsi="宋体" w:cs="Times New Roman"/>
                <w:kern w:val="0"/>
                <w:sz w:val="21"/>
                <w:szCs w:val="21"/>
                <w:highlight w:val="none"/>
                <w:lang w:val="en-US" w:eastAsia="zh-CN"/>
              </w:rPr>
              <w:t>修改</w:t>
            </w:r>
            <w:r>
              <w:rPr>
                <w:rFonts w:hint="eastAsia" w:ascii="宋体" w:hAnsi="宋体" w:eastAsia="宋体" w:cs="Times New Roman"/>
                <w:kern w:val="0"/>
                <w:sz w:val="21"/>
                <w:szCs w:val="21"/>
                <w:highlight w:val="none"/>
                <w:lang w:val="en-US" w:eastAsia="zh-CN"/>
              </w:rPr>
              <w:t>和征求意见</w:t>
            </w:r>
          </w:p>
        </w:tc>
      </w:tr>
      <w:tr w14:paraId="484A3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273B1535">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应诗家</w:t>
            </w:r>
          </w:p>
        </w:tc>
        <w:tc>
          <w:tcPr>
            <w:tcW w:w="1000" w:type="pct"/>
            <w:tcBorders>
              <w:tl2br w:val="nil"/>
              <w:tr2bl w:val="nil"/>
            </w:tcBorders>
            <w:vAlign w:val="center"/>
          </w:tcPr>
          <w:p w14:paraId="74FC5A44">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副处长/</w:t>
            </w:r>
          </w:p>
          <w:p w14:paraId="29500DA4">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研究员</w:t>
            </w:r>
          </w:p>
        </w:tc>
        <w:tc>
          <w:tcPr>
            <w:tcW w:w="1861" w:type="pct"/>
            <w:tcBorders>
              <w:tl2br w:val="nil"/>
              <w:tr2bl w:val="nil"/>
            </w:tcBorders>
            <w:vAlign w:val="center"/>
          </w:tcPr>
          <w:p w14:paraId="308CACB8">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45A5333D">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标准文本修改</w:t>
            </w:r>
            <w:r>
              <w:rPr>
                <w:rFonts w:hint="eastAsia" w:ascii="宋体" w:hAnsi="宋体" w:cs="Times New Roman"/>
                <w:kern w:val="0"/>
                <w:sz w:val="21"/>
                <w:szCs w:val="21"/>
                <w:highlight w:val="none"/>
                <w:lang w:val="en-US" w:eastAsia="zh-CN"/>
              </w:rPr>
              <w:t>和征求意见</w:t>
            </w:r>
          </w:p>
        </w:tc>
      </w:tr>
      <w:tr w14:paraId="49611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26376B2B">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丁浩</w:t>
            </w:r>
          </w:p>
        </w:tc>
        <w:tc>
          <w:tcPr>
            <w:tcW w:w="1000" w:type="pct"/>
            <w:tcBorders>
              <w:tl2br w:val="nil"/>
              <w:tr2bl w:val="nil"/>
            </w:tcBorders>
            <w:vAlign w:val="center"/>
          </w:tcPr>
          <w:p w14:paraId="2F815B47">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博士研究生</w:t>
            </w:r>
          </w:p>
        </w:tc>
        <w:tc>
          <w:tcPr>
            <w:tcW w:w="1861" w:type="pct"/>
            <w:tcBorders>
              <w:tl2br w:val="nil"/>
              <w:tr2bl w:val="nil"/>
            </w:tcBorders>
            <w:vAlign w:val="center"/>
          </w:tcPr>
          <w:p w14:paraId="129C4572">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扬州大学</w:t>
            </w:r>
          </w:p>
        </w:tc>
        <w:tc>
          <w:tcPr>
            <w:tcW w:w="1484" w:type="pct"/>
            <w:tcBorders>
              <w:tl2br w:val="nil"/>
              <w:tr2bl w:val="nil"/>
            </w:tcBorders>
            <w:vAlign w:val="center"/>
          </w:tcPr>
          <w:p w14:paraId="0AC8C440">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标准文本</w:t>
            </w:r>
            <w:r>
              <w:rPr>
                <w:rFonts w:hint="eastAsia" w:ascii="宋体" w:hAnsi="宋体" w:cs="Times New Roman"/>
                <w:kern w:val="0"/>
                <w:sz w:val="21"/>
                <w:szCs w:val="21"/>
                <w:highlight w:val="none"/>
                <w:lang w:val="en-US" w:eastAsia="zh-CN"/>
              </w:rPr>
              <w:t>修改</w:t>
            </w:r>
            <w:r>
              <w:rPr>
                <w:rFonts w:hint="eastAsia" w:ascii="宋体" w:hAnsi="宋体" w:eastAsia="宋体" w:cs="Times New Roman"/>
                <w:kern w:val="0"/>
                <w:sz w:val="21"/>
                <w:szCs w:val="21"/>
                <w:highlight w:val="none"/>
                <w:lang w:val="en-US" w:eastAsia="zh-CN"/>
              </w:rPr>
              <w:t>和征求意见</w:t>
            </w:r>
          </w:p>
        </w:tc>
      </w:tr>
      <w:tr w14:paraId="18D34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4B7BFC8E">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谢恺舟</w:t>
            </w:r>
          </w:p>
        </w:tc>
        <w:tc>
          <w:tcPr>
            <w:tcW w:w="1000" w:type="pct"/>
            <w:tcBorders>
              <w:tl2br w:val="nil"/>
              <w:tr2bl w:val="nil"/>
            </w:tcBorders>
            <w:vAlign w:val="center"/>
          </w:tcPr>
          <w:p w14:paraId="3D201108">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研究员</w:t>
            </w:r>
          </w:p>
        </w:tc>
        <w:tc>
          <w:tcPr>
            <w:tcW w:w="1861" w:type="pct"/>
            <w:tcBorders>
              <w:tl2br w:val="nil"/>
              <w:tr2bl w:val="nil"/>
            </w:tcBorders>
            <w:vAlign w:val="center"/>
          </w:tcPr>
          <w:p w14:paraId="20774976">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扬州大学</w:t>
            </w:r>
          </w:p>
        </w:tc>
        <w:tc>
          <w:tcPr>
            <w:tcW w:w="1484" w:type="pct"/>
            <w:tcBorders>
              <w:tl2br w:val="nil"/>
              <w:tr2bl w:val="nil"/>
            </w:tcBorders>
            <w:vAlign w:val="center"/>
          </w:tcPr>
          <w:p w14:paraId="1DB216F9">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标准文本</w:t>
            </w:r>
            <w:r>
              <w:rPr>
                <w:rFonts w:hint="eastAsia" w:ascii="宋体" w:hAnsi="宋体" w:cs="Times New Roman"/>
                <w:kern w:val="0"/>
                <w:sz w:val="21"/>
                <w:szCs w:val="21"/>
                <w:highlight w:val="none"/>
                <w:lang w:val="en-US" w:eastAsia="zh-CN"/>
              </w:rPr>
              <w:t>修改</w:t>
            </w:r>
            <w:r>
              <w:rPr>
                <w:rFonts w:hint="eastAsia" w:ascii="宋体" w:hAnsi="宋体" w:eastAsia="宋体" w:cs="Times New Roman"/>
                <w:kern w:val="0"/>
                <w:sz w:val="21"/>
                <w:szCs w:val="21"/>
                <w:highlight w:val="none"/>
                <w:lang w:val="en-US" w:eastAsia="zh-CN"/>
              </w:rPr>
              <w:t>和征求意见</w:t>
            </w:r>
          </w:p>
        </w:tc>
      </w:tr>
      <w:tr w14:paraId="01BFA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7A717E17">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刘海涛</w:t>
            </w:r>
          </w:p>
        </w:tc>
        <w:tc>
          <w:tcPr>
            <w:tcW w:w="1000" w:type="pct"/>
            <w:tcBorders>
              <w:tl2br w:val="nil"/>
              <w:tr2bl w:val="nil"/>
            </w:tcBorders>
            <w:vAlign w:val="center"/>
          </w:tcPr>
          <w:p w14:paraId="20C2DDC9">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技术总监</w:t>
            </w:r>
          </w:p>
        </w:tc>
        <w:tc>
          <w:tcPr>
            <w:tcW w:w="1861" w:type="pct"/>
            <w:tcBorders>
              <w:tl2br w:val="nil"/>
              <w:tr2bl w:val="nil"/>
            </w:tcBorders>
            <w:vAlign w:val="center"/>
          </w:tcPr>
          <w:p w14:paraId="1557BA6A">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江苏益客食品集团股份有限公司</w:t>
            </w:r>
          </w:p>
        </w:tc>
        <w:tc>
          <w:tcPr>
            <w:tcW w:w="1484" w:type="pct"/>
            <w:tcBorders>
              <w:tl2br w:val="nil"/>
              <w:tr2bl w:val="nil"/>
            </w:tcBorders>
            <w:vAlign w:val="center"/>
          </w:tcPr>
          <w:p w14:paraId="45577C6E">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标准实施和验证</w:t>
            </w:r>
          </w:p>
        </w:tc>
      </w:tr>
      <w:tr w14:paraId="25007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22549E07">
            <w:pPr>
              <w:adjustRightInd w:val="0"/>
              <w:snapToGrid w:val="0"/>
              <w:jc w:val="center"/>
              <w:rPr>
                <w:rFonts w:hint="default" w:ascii="宋体" w:hAnsi="宋体" w:eastAsia="宋体" w:cs="Times New Roman"/>
                <w:kern w:val="0"/>
                <w:sz w:val="21"/>
                <w:szCs w:val="21"/>
                <w:highlight w:val="none"/>
                <w:lang w:val="en-US" w:eastAsia="zh-CN"/>
              </w:rPr>
            </w:pPr>
            <w:r>
              <w:rPr>
                <w:rFonts w:hint="eastAsia" w:ascii="宋体" w:hAnsi="宋体" w:cs="Times New Roman"/>
                <w:kern w:val="0"/>
                <w:sz w:val="21"/>
                <w:szCs w:val="21"/>
                <w:highlight w:val="none"/>
                <w:lang w:val="en-US" w:eastAsia="zh-CN"/>
              </w:rPr>
              <w:t>刘博闻</w:t>
            </w:r>
          </w:p>
        </w:tc>
        <w:tc>
          <w:tcPr>
            <w:tcW w:w="1000" w:type="pct"/>
            <w:tcBorders>
              <w:tl2br w:val="nil"/>
              <w:tr2bl w:val="nil"/>
            </w:tcBorders>
            <w:vAlign w:val="center"/>
          </w:tcPr>
          <w:p w14:paraId="54AD16AE">
            <w:pPr>
              <w:adjustRightInd w:val="0"/>
              <w:snapToGrid w:val="0"/>
              <w:jc w:val="center"/>
              <w:rPr>
                <w:rFonts w:hint="default" w:ascii="宋体" w:hAnsi="宋体" w:eastAsia="宋体" w:cs="Times New Roman"/>
                <w:kern w:val="0"/>
                <w:sz w:val="21"/>
                <w:szCs w:val="21"/>
                <w:highlight w:val="none"/>
                <w:lang w:val="en-US" w:eastAsia="zh-CN"/>
              </w:rPr>
            </w:pPr>
            <w:r>
              <w:rPr>
                <w:rFonts w:hint="eastAsia" w:ascii="宋体" w:hAnsi="宋体" w:cs="Times New Roman"/>
                <w:kern w:val="0"/>
                <w:sz w:val="21"/>
                <w:szCs w:val="21"/>
                <w:highlight w:val="none"/>
                <w:lang w:val="en-US" w:eastAsia="zh-CN"/>
              </w:rPr>
              <w:t>博士后</w:t>
            </w:r>
          </w:p>
        </w:tc>
        <w:tc>
          <w:tcPr>
            <w:tcW w:w="1861" w:type="pct"/>
            <w:tcBorders>
              <w:tl2br w:val="nil"/>
              <w:tr2bl w:val="nil"/>
            </w:tcBorders>
            <w:vAlign w:val="center"/>
          </w:tcPr>
          <w:p w14:paraId="1C94637B">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01CDDBFE">
            <w:pPr>
              <w:adjustRightInd w:val="0"/>
              <w:snapToGrid w:val="0"/>
              <w:jc w:val="center"/>
              <w:rPr>
                <w:rFonts w:hint="eastAsia" w:ascii="宋体" w:hAnsi="宋体" w:eastAsia="宋体" w:cs="Times New Roman"/>
                <w:kern w:val="0"/>
                <w:sz w:val="21"/>
                <w:szCs w:val="21"/>
                <w:highlight w:val="none"/>
                <w:lang w:val="en-US" w:eastAsia="zh-CN"/>
              </w:rPr>
            </w:pPr>
            <w:r>
              <w:rPr>
                <w:rFonts w:hint="eastAsia" w:ascii="宋体" w:hAnsi="宋体" w:eastAsia="宋体" w:cs="Times New Roman"/>
                <w:kern w:val="0"/>
                <w:sz w:val="21"/>
                <w:szCs w:val="21"/>
                <w:highlight w:val="none"/>
                <w:lang w:val="en-US" w:eastAsia="zh-CN"/>
              </w:rPr>
              <w:t>标准实施和验证</w:t>
            </w:r>
          </w:p>
        </w:tc>
      </w:tr>
      <w:tr w14:paraId="2B12B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554B6100">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包红朵</w:t>
            </w:r>
          </w:p>
        </w:tc>
        <w:tc>
          <w:tcPr>
            <w:tcW w:w="1000" w:type="pct"/>
            <w:tcBorders>
              <w:tl2br w:val="nil"/>
              <w:tr2bl w:val="nil"/>
            </w:tcBorders>
            <w:vAlign w:val="center"/>
          </w:tcPr>
          <w:p w14:paraId="61644A08">
            <w:pPr>
              <w:adjustRightInd w:val="0"/>
              <w:snapToGrid w:val="0"/>
              <w:jc w:val="center"/>
              <w:rPr>
                <w:rFonts w:hint="default"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副研究员</w:t>
            </w:r>
          </w:p>
        </w:tc>
        <w:tc>
          <w:tcPr>
            <w:tcW w:w="1861" w:type="pct"/>
            <w:tcBorders>
              <w:tl2br w:val="nil"/>
              <w:tr2bl w:val="nil"/>
            </w:tcBorders>
            <w:vAlign w:val="center"/>
          </w:tcPr>
          <w:p w14:paraId="5793CC63">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4A942ACE">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标准实施和验证</w:t>
            </w:r>
          </w:p>
        </w:tc>
      </w:tr>
      <w:tr w14:paraId="6671A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0A6FFA51">
            <w:pPr>
              <w:adjustRightInd w:val="0"/>
              <w:snapToGrid w:val="0"/>
              <w:jc w:val="center"/>
              <w:rPr>
                <w:rFonts w:hint="eastAsia" w:ascii="宋体" w:hAnsi="宋体" w:cs="Times New Roman"/>
                <w:kern w:val="0"/>
                <w:sz w:val="21"/>
                <w:szCs w:val="21"/>
                <w:highlight w:val="none"/>
                <w:lang w:val="en-US" w:eastAsia="zh-CN"/>
              </w:rPr>
            </w:pPr>
            <w:r>
              <w:rPr>
                <w:rStyle w:val="10"/>
                <w:rFonts w:hint="eastAsia" w:ascii="宋体" w:hAnsi="宋体" w:eastAsia="宋体" w:cs="Times New Roman"/>
                <w:i w:val="0"/>
                <w:iCs w:val="0"/>
                <w:caps w:val="0"/>
                <w:color w:val="auto"/>
                <w:spacing w:val="0"/>
                <w:kern w:val="0"/>
                <w:sz w:val="21"/>
                <w:szCs w:val="21"/>
                <w:highlight w:val="none"/>
                <w:shd w:val="clear" w:fill="FFFFFF"/>
              </w:rPr>
              <w:t>仲召鑫</w:t>
            </w:r>
          </w:p>
        </w:tc>
        <w:tc>
          <w:tcPr>
            <w:tcW w:w="1000" w:type="pct"/>
            <w:tcBorders>
              <w:tl2br w:val="nil"/>
              <w:tr2bl w:val="nil"/>
            </w:tcBorders>
            <w:vAlign w:val="center"/>
          </w:tcPr>
          <w:p w14:paraId="2D78796E">
            <w:pPr>
              <w:adjustRightInd w:val="0"/>
              <w:snapToGrid w:val="0"/>
              <w:jc w:val="center"/>
              <w:rPr>
                <w:rFonts w:hint="default" w:ascii="宋体" w:hAnsi="宋体" w:cs="Times New Roman"/>
                <w:kern w:val="0"/>
                <w:sz w:val="21"/>
                <w:szCs w:val="21"/>
                <w:highlight w:val="none"/>
                <w:lang w:val="en-US" w:eastAsia="zh-CN"/>
              </w:rPr>
            </w:pPr>
            <w:r>
              <w:rPr>
                <w:rFonts w:hint="eastAsia" w:ascii="宋体" w:hAnsi="宋体" w:cs="Times New Roman"/>
                <w:kern w:val="0"/>
                <w:sz w:val="21"/>
                <w:szCs w:val="21"/>
                <w:highlight w:val="none"/>
                <w:lang w:val="en-US" w:eastAsia="zh-CN"/>
              </w:rPr>
              <w:t>助理研究员</w:t>
            </w:r>
          </w:p>
        </w:tc>
        <w:tc>
          <w:tcPr>
            <w:tcW w:w="1861" w:type="pct"/>
            <w:tcBorders>
              <w:tl2br w:val="nil"/>
              <w:tr2bl w:val="nil"/>
            </w:tcBorders>
            <w:shd w:val="clear" w:color="auto" w:fill="auto"/>
            <w:vAlign w:val="center"/>
          </w:tcPr>
          <w:p w14:paraId="18026E5F">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shd w:val="clear" w:color="auto" w:fill="auto"/>
            <w:vAlign w:val="center"/>
          </w:tcPr>
          <w:p w14:paraId="2D905E45">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标准实施和验证</w:t>
            </w:r>
          </w:p>
        </w:tc>
      </w:tr>
      <w:tr w14:paraId="4FDDF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18766A82">
            <w:pPr>
              <w:adjustRightInd w:val="0"/>
              <w:snapToGrid w:val="0"/>
              <w:jc w:val="center"/>
              <w:rPr>
                <w:rFonts w:hint="default" w:ascii="宋体" w:hAnsi="宋体" w:cs="Times New Roman"/>
                <w:kern w:val="0"/>
                <w:sz w:val="21"/>
                <w:szCs w:val="21"/>
                <w:highlight w:val="none"/>
                <w:lang w:val="en-US" w:eastAsia="zh-CN"/>
              </w:rPr>
            </w:pPr>
            <w:r>
              <w:rPr>
                <w:rFonts w:hint="eastAsia" w:ascii="宋体" w:hAnsi="宋体" w:cs="Times New Roman"/>
                <w:kern w:val="0"/>
                <w:sz w:val="21"/>
                <w:szCs w:val="21"/>
                <w:highlight w:val="none"/>
                <w:lang w:val="en-US" w:eastAsia="zh-CN"/>
              </w:rPr>
              <w:t>李俊</w:t>
            </w:r>
          </w:p>
        </w:tc>
        <w:tc>
          <w:tcPr>
            <w:tcW w:w="1000" w:type="pct"/>
            <w:tcBorders>
              <w:tl2br w:val="nil"/>
              <w:tr2bl w:val="nil"/>
            </w:tcBorders>
            <w:vAlign w:val="center"/>
          </w:tcPr>
          <w:p w14:paraId="29CC75C7">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副研究员</w:t>
            </w:r>
          </w:p>
        </w:tc>
        <w:tc>
          <w:tcPr>
            <w:tcW w:w="1861" w:type="pct"/>
            <w:tcBorders>
              <w:tl2br w:val="nil"/>
              <w:tr2bl w:val="nil"/>
            </w:tcBorders>
            <w:vAlign w:val="center"/>
          </w:tcPr>
          <w:p w14:paraId="502641A9">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5BAFE0F1">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标准实施和验证</w:t>
            </w:r>
          </w:p>
        </w:tc>
      </w:tr>
      <w:tr w14:paraId="4EB7E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53" w:type="pct"/>
            <w:tcBorders>
              <w:tl2br w:val="nil"/>
              <w:tr2bl w:val="nil"/>
            </w:tcBorders>
            <w:vAlign w:val="center"/>
          </w:tcPr>
          <w:p w14:paraId="6D676498">
            <w:pPr>
              <w:adjustRightInd w:val="0"/>
              <w:snapToGrid w:val="0"/>
              <w:jc w:val="center"/>
              <w:rPr>
                <w:rFonts w:hint="default" w:ascii="宋体" w:hAnsi="宋体" w:cs="Times New Roman"/>
                <w:kern w:val="0"/>
                <w:sz w:val="21"/>
                <w:szCs w:val="21"/>
                <w:highlight w:val="none"/>
                <w:lang w:val="en-US" w:eastAsia="zh-CN"/>
              </w:rPr>
            </w:pPr>
            <w:r>
              <w:rPr>
                <w:rFonts w:hint="eastAsia" w:ascii="宋体" w:hAnsi="宋体" w:cs="Times New Roman"/>
                <w:kern w:val="0"/>
                <w:sz w:val="21"/>
                <w:szCs w:val="21"/>
                <w:highlight w:val="none"/>
                <w:lang w:val="en-US" w:eastAsia="zh-CN"/>
              </w:rPr>
              <w:t>李悦</w:t>
            </w:r>
          </w:p>
        </w:tc>
        <w:tc>
          <w:tcPr>
            <w:tcW w:w="1000" w:type="pct"/>
            <w:tcBorders>
              <w:tl2br w:val="nil"/>
              <w:tr2bl w:val="nil"/>
            </w:tcBorders>
            <w:vAlign w:val="center"/>
          </w:tcPr>
          <w:p w14:paraId="05C4539B">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cs="Times New Roman"/>
                <w:kern w:val="0"/>
                <w:sz w:val="21"/>
                <w:szCs w:val="21"/>
                <w:highlight w:val="none"/>
                <w:lang w:val="en-US" w:eastAsia="zh-CN"/>
              </w:rPr>
              <w:t>副研究员</w:t>
            </w:r>
          </w:p>
        </w:tc>
        <w:tc>
          <w:tcPr>
            <w:tcW w:w="1861" w:type="pct"/>
            <w:tcBorders>
              <w:tl2br w:val="nil"/>
              <w:tr2bl w:val="nil"/>
            </w:tcBorders>
            <w:vAlign w:val="center"/>
          </w:tcPr>
          <w:p w14:paraId="4CD8F806">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江苏省农业科学院</w:t>
            </w:r>
          </w:p>
        </w:tc>
        <w:tc>
          <w:tcPr>
            <w:tcW w:w="1484" w:type="pct"/>
            <w:tcBorders>
              <w:tl2br w:val="nil"/>
              <w:tr2bl w:val="nil"/>
            </w:tcBorders>
            <w:vAlign w:val="center"/>
          </w:tcPr>
          <w:p w14:paraId="327F2AC2">
            <w:pPr>
              <w:adjustRightInd w:val="0"/>
              <w:snapToGrid w:val="0"/>
              <w:jc w:val="cente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 w:val="21"/>
                <w:szCs w:val="21"/>
                <w:highlight w:val="none"/>
                <w:lang w:val="en-US" w:eastAsia="zh-CN"/>
              </w:rPr>
              <w:t>标准实施和验证</w:t>
            </w:r>
          </w:p>
        </w:tc>
      </w:tr>
    </w:tbl>
    <w:p w14:paraId="7C458CA8">
      <w:pPr>
        <w:spacing w:line="360" w:lineRule="auto"/>
        <w:jc w:val="left"/>
        <w:rPr>
          <w:rFonts w:hint="eastAsia" w:ascii="黑体" w:hAnsi="黑体" w:eastAsia="黑体"/>
          <w:sz w:val="28"/>
          <w:szCs w:val="28"/>
          <w:highlight w:val="none"/>
          <w:lang w:val="en-US" w:eastAsia="zh-CN"/>
        </w:rPr>
      </w:pPr>
      <w:r>
        <w:rPr>
          <w:rFonts w:hint="eastAsia" w:ascii="黑体" w:hAnsi="黑体" w:eastAsia="黑体"/>
          <w:sz w:val="28"/>
          <w:szCs w:val="28"/>
          <w:highlight w:val="none"/>
          <w:lang w:val="en-US" w:eastAsia="zh-CN"/>
        </w:rPr>
        <w:t>四</w:t>
      </w:r>
      <w:r>
        <w:rPr>
          <w:rFonts w:hint="eastAsia" w:ascii="黑体" w:hAnsi="黑体" w:eastAsia="黑体"/>
          <w:sz w:val="28"/>
          <w:szCs w:val="28"/>
          <w:highlight w:val="none"/>
        </w:rPr>
        <w:t>、</w:t>
      </w:r>
      <w:r>
        <w:rPr>
          <w:rFonts w:hint="eastAsia" w:ascii="黑体" w:hAnsi="黑体" w:eastAsia="黑体"/>
          <w:sz w:val="28"/>
          <w:szCs w:val="28"/>
          <w:highlight w:val="none"/>
          <w:lang w:val="en-US" w:eastAsia="zh-CN"/>
        </w:rPr>
        <w:t>编制过程</w:t>
      </w:r>
    </w:p>
    <w:p w14:paraId="0A33FF10">
      <w:pPr>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）成立标准</w:t>
      </w:r>
      <w:r>
        <w:rPr>
          <w:rFonts w:hint="eastAsia" w:ascii="宋体" w:hAnsi="宋体" w:eastAsia="宋体" w:cs="宋体"/>
          <w:b/>
          <w:bCs/>
          <w:sz w:val="24"/>
          <w:szCs w:val="24"/>
          <w:highlight w:val="none"/>
          <w:lang w:val="en-US" w:eastAsia="zh-CN"/>
        </w:rPr>
        <w:t>编制</w:t>
      </w:r>
      <w:r>
        <w:rPr>
          <w:rFonts w:hint="eastAsia" w:ascii="宋体" w:hAnsi="宋体" w:eastAsia="宋体" w:cs="宋体"/>
          <w:b/>
          <w:bCs/>
          <w:sz w:val="24"/>
          <w:szCs w:val="24"/>
          <w:highlight w:val="none"/>
        </w:rPr>
        <w:t>小组</w:t>
      </w:r>
    </w:p>
    <w:p w14:paraId="28035D9C">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2023年8月</w:t>
      </w:r>
      <w:r>
        <w:rPr>
          <w:rFonts w:hint="eastAsia" w:cs="Times New Roman"/>
          <w:sz w:val="24"/>
          <w:szCs w:val="24"/>
          <w:highlight w:val="none"/>
          <w:lang w:eastAsia="zh-CN"/>
        </w:rPr>
        <w:t>，</w:t>
      </w:r>
      <w:r>
        <w:rPr>
          <w:rFonts w:hint="eastAsia" w:cs="Times New Roman"/>
          <w:sz w:val="24"/>
          <w:szCs w:val="24"/>
          <w:highlight w:val="none"/>
          <w:lang w:val="en-US" w:eastAsia="zh-CN"/>
        </w:rPr>
        <w:t>标准项目计划</w:t>
      </w:r>
      <w:r>
        <w:rPr>
          <w:rFonts w:ascii="Times New Roman" w:hAnsi="Times New Roman" w:eastAsia="宋体" w:cs="Times New Roman"/>
          <w:sz w:val="24"/>
          <w:szCs w:val="24"/>
          <w:highlight w:val="none"/>
        </w:rPr>
        <w:t>下达后，召开标准起草协助单位会议，成立</w:t>
      </w:r>
      <w:r>
        <w:rPr>
          <w:rFonts w:hint="eastAsia" w:cs="Times New Roman"/>
          <w:sz w:val="24"/>
          <w:szCs w:val="24"/>
          <w:highlight w:val="none"/>
          <w:lang w:val="en-US" w:eastAsia="zh-CN"/>
        </w:rPr>
        <w:t>由江苏省农业科学院、扬州大学、江苏益客食品集团股份有限公司等单位组成的</w:t>
      </w:r>
      <w:r>
        <w:rPr>
          <w:rFonts w:ascii="Times New Roman" w:hAnsi="Times New Roman" w:eastAsia="宋体" w:cs="Times New Roman"/>
          <w:sz w:val="24"/>
          <w:szCs w:val="24"/>
          <w:highlight w:val="none"/>
        </w:rPr>
        <w:t>标准</w:t>
      </w:r>
      <w:r>
        <w:rPr>
          <w:rFonts w:hint="eastAsia" w:cs="Times New Roman"/>
          <w:sz w:val="24"/>
          <w:szCs w:val="24"/>
          <w:highlight w:val="none"/>
          <w:lang w:val="en-US" w:eastAsia="zh-CN"/>
        </w:rPr>
        <w:t>编制</w:t>
      </w:r>
      <w:r>
        <w:rPr>
          <w:rFonts w:ascii="Times New Roman" w:hAnsi="Times New Roman" w:eastAsia="宋体" w:cs="Times New Roman"/>
          <w:sz w:val="24"/>
          <w:szCs w:val="24"/>
          <w:highlight w:val="none"/>
        </w:rPr>
        <w:t>小组，同时对标准起草工作进行分工，明确各自任务和职责，以确保标准编制</w:t>
      </w:r>
      <w:r>
        <w:rPr>
          <w:rFonts w:hint="eastAsia" w:cs="Times New Roman"/>
          <w:sz w:val="24"/>
          <w:szCs w:val="24"/>
          <w:highlight w:val="none"/>
          <w:lang w:val="en-US" w:eastAsia="zh-CN"/>
        </w:rPr>
        <w:t>任务的顺利完成</w:t>
      </w:r>
      <w:r>
        <w:rPr>
          <w:rFonts w:ascii="Times New Roman" w:hAnsi="Times New Roman" w:eastAsia="宋体" w:cs="Times New Roman"/>
          <w:sz w:val="24"/>
          <w:szCs w:val="24"/>
          <w:highlight w:val="none"/>
        </w:rPr>
        <w:t>。</w:t>
      </w:r>
    </w:p>
    <w:p w14:paraId="5A5C51FA">
      <w:pPr>
        <w:spacing w:line="360" w:lineRule="auto"/>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资料收集及现场调研</w:t>
      </w:r>
    </w:p>
    <w:p w14:paraId="5EF2128E">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2023年</w:t>
      </w:r>
      <w:r>
        <w:rPr>
          <w:rFonts w:hint="eastAsia" w:cs="Times New Roman"/>
          <w:sz w:val="24"/>
          <w:szCs w:val="24"/>
          <w:highlight w:val="none"/>
          <w:lang w:val="en-US" w:eastAsia="zh-CN"/>
        </w:rPr>
        <w:t>9</w:t>
      </w:r>
      <w:r>
        <w:rPr>
          <w:rFonts w:ascii="Times New Roman" w:hAnsi="Times New Roman" w:eastAsia="宋体" w:cs="Times New Roman"/>
          <w:sz w:val="24"/>
          <w:szCs w:val="24"/>
          <w:highlight w:val="none"/>
        </w:rPr>
        <w:t>月</w:t>
      </w:r>
      <w:r>
        <w:rPr>
          <w:rFonts w:hint="eastAsia" w:cs="Times New Roman"/>
          <w:sz w:val="24"/>
          <w:szCs w:val="24"/>
          <w:highlight w:val="none"/>
          <w:lang w:eastAsia="zh-CN"/>
        </w:rPr>
        <w:t>，</w:t>
      </w:r>
      <w:r>
        <w:rPr>
          <w:rFonts w:hint="eastAsia" w:cs="Times New Roman"/>
          <w:sz w:val="24"/>
          <w:szCs w:val="24"/>
          <w:highlight w:val="none"/>
          <w:lang w:val="en-US" w:eastAsia="zh-CN"/>
        </w:rPr>
        <w:t>编制</w:t>
      </w:r>
      <w:r>
        <w:rPr>
          <w:rFonts w:hint="eastAsia" w:ascii="Times New Roman" w:hAnsi="Times New Roman" w:eastAsia="宋体" w:cs="Times New Roman"/>
          <w:sz w:val="24"/>
          <w:szCs w:val="24"/>
          <w:highlight w:val="none"/>
        </w:rPr>
        <w:t>小</w:t>
      </w:r>
      <w:r>
        <w:rPr>
          <w:rFonts w:ascii="Times New Roman" w:hAnsi="Times New Roman" w:eastAsia="宋体" w:cs="Times New Roman"/>
          <w:sz w:val="24"/>
          <w:szCs w:val="24"/>
          <w:highlight w:val="none"/>
        </w:rPr>
        <w:t>组</w:t>
      </w:r>
      <w:r>
        <w:rPr>
          <w:rFonts w:hint="eastAsia" w:ascii="Times New Roman" w:hAnsi="Times New Roman" w:eastAsia="宋体" w:cs="Times New Roman"/>
          <w:sz w:val="24"/>
          <w:szCs w:val="24"/>
          <w:highlight w:val="none"/>
        </w:rPr>
        <w:t>查阅</w:t>
      </w:r>
      <w:r>
        <w:rPr>
          <w:rFonts w:hint="eastAsia" w:cs="Times New Roman"/>
          <w:sz w:val="24"/>
          <w:szCs w:val="24"/>
          <w:highlight w:val="none"/>
          <w:lang w:val="en-US" w:eastAsia="zh-CN"/>
        </w:rPr>
        <w:t>肉鸭层叠式笼养管理技术</w:t>
      </w:r>
      <w:r>
        <w:rPr>
          <w:rFonts w:hint="eastAsia" w:ascii="Times New Roman" w:hAnsi="Times New Roman" w:eastAsia="宋体" w:cs="Times New Roman"/>
          <w:sz w:val="24"/>
          <w:szCs w:val="24"/>
          <w:highlight w:val="none"/>
          <w:lang w:val="en-US" w:eastAsia="zh-CN"/>
        </w:rPr>
        <w:t>相关</w:t>
      </w:r>
      <w:r>
        <w:rPr>
          <w:rFonts w:hint="eastAsia" w:ascii="Times New Roman" w:hAnsi="Times New Roman" w:eastAsia="宋体" w:cs="Times New Roman"/>
          <w:sz w:val="24"/>
          <w:szCs w:val="24"/>
          <w:highlight w:val="none"/>
        </w:rPr>
        <w:t>的标准、</w:t>
      </w:r>
      <w:r>
        <w:rPr>
          <w:rFonts w:hint="eastAsia" w:cs="Times New Roman"/>
          <w:sz w:val="24"/>
          <w:szCs w:val="24"/>
          <w:highlight w:val="none"/>
          <w:lang w:val="en-US" w:eastAsia="zh-CN"/>
        </w:rPr>
        <w:t>文件和</w:t>
      </w:r>
      <w:r>
        <w:rPr>
          <w:rFonts w:hint="eastAsia" w:ascii="Times New Roman" w:hAnsi="Times New Roman" w:eastAsia="宋体" w:cs="Times New Roman"/>
          <w:sz w:val="24"/>
          <w:szCs w:val="24"/>
          <w:highlight w:val="none"/>
          <w:lang w:val="en-US" w:eastAsia="zh-CN"/>
        </w:rPr>
        <w:t>技术</w:t>
      </w:r>
      <w:r>
        <w:rPr>
          <w:rFonts w:hint="eastAsia" w:cs="Times New Roman"/>
          <w:sz w:val="24"/>
          <w:szCs w:val="24"/>
          <w:highlight w:val="none"/>
          <w:lang w:val="en-US" w:eastAsia="zh-CN"/>
        </w:rPr>
        <w:t>资料</w:t>
      </w:r>
      <w:r>
        <w:rPr>
          <w:rFonts w:hint="eastAsia" w:ascii="Times New Roman" w:hAnsi="Times New Roman" w:eastAsia="宋体" w:cs="Times New Roman"/>
          <w:sz w:val="24"/>
          <w:szCs w:val="24"/>
          <w:highlight w:val="none"/>
        </w:rPr>
        <w:t>，对相关数据和资料进行归纳整理。</w:t>
      </w:r>
    </w:p>
    <w:p w14:paraId="54D73EC8">
      <w:pPr>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）确定标准技术路线及要素</w:t>
      </w:r>
    </w:p>
    <w:p w14:paraId="0951DC1B">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2023年</w:t>
      </w:r>
      <w:r>
        <w:rPr>
          <w:rFonts w:hint="eastAsia" w:cs="Times New Roman"/>
          <w:sz w:val="24"/>
          <w:szCs w:val="24"/>
          <w:highlight w:val="none"/>
          <w:lang w:val="en-US" w:eastAsia="zh-CN"/>
        </w:rPr>
        <w:t>10</w:t>
      </w:r>
      <w:r>
        <w:rPr>
          <w:rFonts w:ascii="Times New Roman" w:hAnsi="Times New Roman" w:eastAsia="宋体" w:cs="Times New Roman"/>
          <w:sz w:val="24"/>
          <w:szCs w:val="24"/>
          <w:highlight w:val="none"/>
        </w:rPr>
        <w:t>月</w:t>
      </w:r>
      <w:r>
        <w:rPr>
          <w:rFonts w:hint="eastAsia" w:cs="Times New Roman"/>
          <w:sz w:val="24"/>
          <w:szCs w:val="24"/>
          <w:highlight w:val="none"/>
          <w:lang w:eastAsia="zh-CN"/>
        </w:rPr>
        <w:t>，</w:t>
      </w:r>
      <w:r>
        <w:rPr>
          <w:rFonts w:ascii="Times New Roman" w:hAnsi="Times New Roman" w:eastAsia="宋体" w:cs="Times New Roman"/>
          <w:sz w:val="24"/>
          <w:szCs w:val="24"/>
          <w:highlight w:val="none"/>
        </w:rPr>
        <w:t>召开标准起草专题会，</w:t>
      </w:r>
      <w:r>
        <w:rPr>
          <w:rFonts w:hint="eastAsia" w:cs="Times New Roman"/>
          <w:sz w:val="24"/>
          <w:szCs w:val="24"/>
          <w:highlight w:val="none"/>
          <w:lang w:val="en-US" w:eastAsia="zh-CN"/>
        </w:rPr>
        <w:t>研究确定</w:t>
      </w:r>
      <w:r>
        <w:rPr>
          <w:rFonts w:ascii="Times New Roman" w:hAnsi="Times New Roman" w:eastAsia="宋体" w:cs="Times New Roman"/>
          <w:sz w:val="24"/>
          <w:szCs w:val="24"/>
          <w:highlight w:val="none"/>
        </w:rPr>
        <w:t>标准的</w:t>
      </w:r>
      <w:r>
        <w:rPr>
          <w:rFonts w:hint="eastAsia" w:ascii="Times New Roman" w:hAnsi="Times New Roman" w:eastAsia="宋体" w:cs="Times New Roman"/>
          <w:sz w:val="24"/>
          <w:szCs w:val="24"/>
          <w:highlight w:val="none"/>
        </w:rPr>
        <w:t>技术路线及要素</w:t>
      </w:r>
      <w:r>
        <w:rPr>
          <w:rFonts w:ascii="Times New Roman" w:hAnsi="Times New Roman" w:eastAsia="宋体" w:cs="Times New Roman"/>
          <w:sz w:val="24"/>
          <w:szCs w:val="24"/>
          <w:highlight w:val="none"/>
        </w:rPr>
        <w:t>。通过</w:t>
      </w:r>
      <w:r>
        <w:rPr>
          <w:rFonts w:hint="eastAsia" w:ascii="Times New Roman" w:hAnsi="Times New Roman" w:eastAsia="宋体" w:cs="Times New Roman"/>
          <w:sz w:val="24"/>
          <w:szCs w:val="24"/>
          <w:highlight w:val="none"/>
        </w:rPr>
        <w:t>标准、</w:t>
      </w:r>
      <w:r>
        <w:rPr>
          <w:rFonts w:hint="eastAsia" w:cs="Times New Roman"/>
          <w:sz w:val="24"/>
          <w:szCs w:val="24"/>
          <w:highlight w:val="none"/>
          <w:lang w:val="en-US" w:eastAsia="zh-CN"/>
        </w:rPr>
        <w:t>文件和</w:t>
      </w:r>
      <w:r>
        <w:rPr>
          <w:rFonts w:hint="eastAsia" w:ascii="Times New Roman" w:hAnsi="Times New Roman" w:eastAsia="宋体" w:cs="Times New Roman"/>
          <w:sz w:val="24"/>
          <w:szCs w:val="24"/>
          <w:highlight w:val="none"/>
          <w:lang w:val="en-US" w:eastAsia="zh-CN"/>
        </w:rPr>
        <w:t>技术</w:t>
      </w:r>
      <w:r>
        <w:rPr>
          <w:rFonts w:hint="eastAsia" w:cs="Times New Roman"/>
          <w:sz w:val="24"/>
          <w:szCs w:val="24"/>
          <w:highlight w:val="none"/>
          <w:lang w:val="en-US" w:eastAsia="zh-CN"/>
        </w:rPr>
        <w:t>资料</w:t>
      </w:r>
      <w:r>
        <w:rPr>
          <w:rFonts w:ascii="Times New Roman" w:hAnsi="Times New Roman" w:eastAsia="宋体" w:cs="Times New Roman"/>
          <w:sz w:val="24"/>
          <w:szCs w:val="24"/>
          <w:highlight w:val="none"/>
        </w:rPr>
        <w:t>的</w:t>
      </w:r>
      <w:r>
        <w:rPr>
          <w:rFonts w:hint="eastAsia" w:cs="Times New Roman"/>
          <w:sz w:val="24"/>
          <w:szCs w:val="24"/>
          <w:highlight w:val="none"/>
          <w:lang w:val="en-US" w:eastAsia="zh-CN"/>
        </w:rPr>
        <w:t>分析</w:t>
      </w:r>
      <w:r>
        <w:rPr>
          <w:rFonts w:ascii="Times New Roman" w:hAnsi="Times New Roman" w:eastAsia="宋体" w:cs="Times New Roman"/>
          <w:sz w:val="24"/>
          <w:szCs w:val="24"/>
          <w:highlight w:val="none"/>
        </w:rPr>
        <w:t>，生产数据和性能测定数据的收集，在以往对</w:t>
      </w:r>
      <w:r>
        <w:rPr>
          <w:rFonts w:hint="eastAsia" w:cs="Times New Roman"/>
          <w:sz w:val="24"/>
          <w:szCs w:val="24"/>
          <w:highlight w:val="none"/>
          <w:lang w:val="en-US" w:eastAsia="zh-CN"/>
        </w:rPr>
        <w:t>肉鸭层叠式笼养管理技术</w:t>
      </w:r>
      <w:r>
        <w:rPr>
          <w:rFonts w:ascii="Times New Roman" w:hAnsi="Times New Roman" w:eastAsia="宋体" w:cs="Times New Roman"/>
          <w:sz w:val="24"/>
          <w:szCs w:val="24"/>
          <w:highlight w:val="none"/>
        </w:rPr>
        <w:t>研究</w:t>
      </w:r>
      <w:r>
        <w:rPr>
          <w:rFonts w:hint="eastAsia" w:cs="Times New Roman"/>
          <w:sz w:val="24"/>
          <w:szCs w:val="24"/>
          <w:highlight w:val="none"/>
          <w:lang w:val="en-US" w:eastAsia="zh-CN"/>
        </w:rPr>
        <w:t>的</w:t>
      </w:r>
      <w:r>
        <w:rPr>
          <w:rFonts w:ascii="Times New Roman" w:hAnsi="Times New Roman" w:eastAsia="宋体" w:cs="Times New Roman"/>
          <w:sz w:val="24"/>
          <w:szCs w:val="24"/>
          <w:highlight w:val="none"/>
        </w:rPr>
        <w:t>基础上，重点对</w:t>
      </w:r>
      <w:r>
        <w:rPr>
          <w:rFonts w:hint="eastAsia" w:ascii="Times New Roman" w:hAnsi="Times New Roman" w:eastAsia="宋体" w:cs="Times New Roman"/>
          <w:sz w:val="24"/>
          <w:szCs w:val="24"/>
          <w:highlight w:val="none"/>
        </w:rPr>
        <w:t>相关术语和定义、选址与布局（产地环境）、设施设备、饲养管理、疫病防控、废弃物处理、管理制度和档案记录</w:t>
      </w:r>
      <w:r>
        <w:rPr>
          <w:rFonts w:ascii="Times New Roman" w:hAnsi="Times New Roman" w:eastAsia="宋体" w:cs="Times New Roman"/>
          <w:sz w:val="24"/>
          <w:szCs w:val="24"/>
          <w:highlight w:val="none"/>
        </w:rPr>
        <w:t>等内容进行规定。</w:t>
      </w:r>
    </w:p>
    <w:p w14:paraId="49364A02">
      <w:pPr>
        <w:spacing w:line="360" w:lineRule="auto"/>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起草标准文本及编制说明</w:t>
      </w:r>
    </w:p>
    <w:p w14:paraId="2CCE391F">
      <w:pPr>
        <w:spacing w:line="360" w:lineRule="auto"/>
        <w:ind w:firstLine="480" w:firstLineChars="200"/>
        <w:jc w:val="left"/>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2023年</w:t>
      </w:r>
      <w:r>
        <w:rPr>
          <w:rFonts w:hint="eastAsia" w:cs="Times New Roman"/>
          <w:sz w:val="24"/>
          <w:szCs w:val="24"/>
          <w:highlight w:val="none"/>
          <w:lang w:val="en-US" w:eastAsia="zh-CN"/>
        </w:rPr>
        <w:t>11</w:t>
      </w:r>
      <w:r>
        <w:rPr>
          <w:rFonts w:ascii="Times New Roman" w:hAnsi="Times New Roman" w:eastAsia="宋体" w:cs="Times New Roman"/>
          <w:sz w:val="24"/>
          <w:szCs w:val="24"/>
          <w:highlight w:val="none"/>
        </w:rPr>
        <w:t>月</w:t>
      </w:r>
      <w:r>
        <w:rPr>
          <w:rFonts w:hint="eastAsia" w:cs="Times New Roman"/>
          <w:sz w:val="24"/>
          <w:szCs w:val="24"/>
          <w:highlight w:val="none"/>
          <w:lang w:eastAsia="zh-CN"/>
        </w:rPr>
        <w:t>～</w:t>
      </w:r>
      <w:r>
        <w:rPr>
          <w:rFonts w:hint="eastAsia" w:cs="Times New Roman"/>
          <w:sz w:val="24"/>
          <w:szCs w:val="24"/>
          <w:highlight w:val="none"/>
          <w:lang w:val="en-US" w:eastAsia="zh-CN"/>
        </w:rPr>
        <w:t>2024年5月，</w:t>
      </w:r>
      <w:r>
        <w:rPr>
          <w:rFonts w:ascii="Times New Roman" w:hAnsi="Times New Roman" w:eastAsia="宋体" w:cs="Times New Roman"/>
          <w:sz w:val="24"/>
          <w:szCs w:val="24"/>
          <w:highlight w:val="none"/>
        </w:rPr>
        <w:t>标准编制</w:t>
      </w:r>
      <w:r>
        <w:rPr>
          <w:rFonts w:hint="eastAsia" w:cs="Times New Roman"/>
          <w:sz w:val="24"/>
          <w:szCs w:val="24"/>
          <w:highlight w:val="none"/>
          <w:lang w:val="en-US" w:eastAsia="zh-CN"/>
        </w:rPr>
        <w:t>小组起草形成标准草案和编制说明，并</w:t>
      </w:r>
      <w:r>
        <w:rPr>
          <w:rFonts w:ascii="Times New Roman" w:hAnsi="Times New Roman" w:eastAsia="宋体" w:cs="Times New Roman"/>
          <w:sz w:val="24"/>
          <w:szCs w:val="24"/>
          <w:highlight w:val="none"/>
        </w:rPr>
        <w:t>召开专题讨论会议，对主要技术要求和指标进行了讨论。根据专家提出的意见和建议，</w:t>
      </w:r>
      <w:r>
        <w:rPr>
          <w:rFonts w:hint="eastAsia" w:cs="Times New Roman"/>
          <w:sz w:val="24"/>
          <w:szCs w:val="24"/>
          <w:highlight w:val="none"/>
          <w:lang w:val="en-US" w:eastAsia="zh-CN"/>
        </w:rPr>
        <w:t>充分</w:t>
      </w:r>
      <w:r>
        <w:rPr>
          <w:rFonts w:ascii="Times New Roman" w:hAnsi="Times New Roman" w:eastAsia="宋体" w:cs="Times New Roman"/>
          <w:sz w:val="24"/>
          <w:szCs w:val="24"/>
          <w:highlight w:val="none"/>
        </w:rPr>
        <w:t>考虑标准内容与我国现行法律和法规的协调性及标准的结构和编写规则，对标准</w:t>
      </w:r>
      <w:r>
        <w:rPr>
          <w:rFonts w:hint="eastAsia" w:cs="Times New Roman"/>
          <w:sz w:val="24"/>
          <w:szCs w:val="24"/>
          <w:highlight w:val="none"/>
          <w:lang w:val="en-US" w:eastAsia="zh-CN"/>
        </w:rPr>
        <w:t>草案</w:t>
      </w:r>
      <w:r>
        <w:rPr>
          <w:rFonts w:ascii="Times New Roman" w:hAnsi="Times New Roman" w:eastAsia="宋体" w:cs="Times New Roman"/>
          <w:sz w:val="24"/>
          <w:szCs w:val="24"/>
          <w:highlight w:val="none"/>
        </w:rPr>
        <w:t>进行了修改，形成了征求意见稿。</w:t>
      </w:r>
    </w:p>
    <w:p w14:paraId="361974FE">
      <w:pPr>
        <w:spacing w:line="360" w:lineRule="auto"/>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征求意见</w:t>
      </w:r>
    </w:p>
    <w:p w14:paraId="05414155">
      <w:pPr>
        <w:spacing w:line="360" w:lineRule="auto"/>
        <w:ind w:firstLine="480" w:firstLineChars="200"/>
        <w:jc w:val="left"/>
        <w:rPr>
          <w:rFonts w:hint="eastAsia" w:cs="Times New Roman"/>
          <w:sz w:val="24"/>
          <w:szCs w:val="24"/>
          <w:highlight w:val="none"/>
          <w:lang w:val="en-US" w:eastAsia="zh-CN"/>
        </w:rPr>
      </w:pPr>
      <w:r>
        <w:rPr>
          <w:rFonts w:ascii="Times New Roman" w:hAnsi="Times New Roman" w:eastAsia="宋体" w:cs="Times New Roman"/>
          <w:sz w:val="24"/>
          <w:szCs w:val="24"/>
          <w:highlight w:val="none"/>
        </w:rPr>
        <w:t>202</w:t>
      </w:r>
      <w:r>
        <w:rPr>
          <w:rFonts w:hint="eastAsia" w:cs="Times New Roman"/>
          <w:sz w:val="24"/>
          <w:szCs w:val="24"/>
          <w:highlight w:val="none"/>
          <w:lang w:val="en-US" w:eastAsia="zh-CN"/>
        </w:rPr>
        <w:t>4</w:t>
      </w:r>
      <w:r>
        <w:rPr>
          <w:rFonts w:ascii="Times New Roman" w:hAnsi="Times New Roman" w:eastAsia="宋体" w:cs="Times New Roman"/>
          <w:sz w:val="24"/>
          <w:szCs w:val="24"/>
          <w:highlight w:val="none"/>
        </w:rPr>
        <w:t>年</w:t>
      </w:r>
      <w:r>
        <w:rPr>
          <w:rFonts w:hint="eastAsia" w:cs="Times New Roman"/>
          <w:sz w:val="24"/>
          <w:szCs w:val="24"/>
          <w:highlight w:val="none"/>
          <w:lang w:val="en-US" w:eastAsia="zh-CN"/>
        </w:rPr>
        <w:t>6</w:t>
      </w:r>
      <w:r>
        <w:rPr>
          <w:rFonts w:ascii="Times New Roman" w:hAnsi="Times New Roman" w:eastAsia="宋体" w:cs="Times New Roman"/>
          <w:sz w:val="24"/>
          <w:szCs w:val="24"/>
          <w:highlight w:val="none"/>
        </w:rPr>
        <w:t>月</w:t>
      </w:r>
      <w:r>
        <w:rPr>
          <w:rFonts w:hint="eastAsia" w:cs="Times New Roman"/>
          <w:sz w:val="24"/>
          <w:szCs w:val="24"/>
          <w:highlight w:val="none"/>
          <w:lang w:eastAsia="zh-CN"/>
        </w:rPr>
        <w:t>～</w:t>
      </w:r>
      <w:r>
        <w:rPr>
          <w:rFonts w:hint="eastAsia" w:cs="Times New Roman"/>
          <w:sz w:val="24"/>
          <w:szCs w:val="24"/>
          <w:highlight w:val="none"/>
          <w:lang w:val="en-US" w:eastAsia="zh-CN"/>
        </w:rPr>
        <w:t>2024年7月，</w:t>
      </w:r>
      <w:r>
        <w:rPr>
          <w:rFonts w:hint="eastAsia" w:ascii="Times New Roman" w:hAnsi="Times New Roman" w:eastAsia="宋体" w:cs="Times New Roman"/>
          <w:sz w:val="24"/>
          <w:szCs w:val="24"/>
          <w:highlight w:val="none"/>
          <w:lang w:val="en-US" w:eastAsia="zh-CN"/>
        </w:rPr>
        <w:t>标准草案及编制说明完成后</w:t>
      </w:r>
      <w:r>
        <w:rPr>
          <w:rFonts w:hint="eastAsia" w:ascii="Times New Roman" w:hAnsi="Times New Roman" w:eastAsia="宋体" w:cs="Times New Roman"/>
          <w:sz w:val="24"/>
          <w:szCs w:val="24"/>
          <w:highlight w:val="none"/>
        </w:rPr>
        <w:t>，在全国范围内遴选</w:t>
      </w:r>
      <w:r>
        <w:rPr>
          <w:rFonts w:ascii="Times New Roman" w:hAnsi="Times New Roman" w:eastAsia="宋体" w:cs="Times New Roman"/>
          <w:sz w:val="24"/>
          <w:szCs w:val="24"/>
          <w:highlight w:val="none"/>
        </w:rPr>
        <w:t>了</w:t>
      </w:r>
      <w:r>
        <w:rPr>
          <w:rFonts w:hint="eastAsia" w:ascii="Times New Roman" w:hAnsi="Times New Roman" w:eastAsia="宋体" w:cs="Times New Roman"/>
          <w:sz w:val="24"/>
          <w:szCs w:val="24"/>
          <w:highlight w:val="none"/>
          <w:lang w:val="en-US" w:eastAsia="zh-CN"/>
        </w:rPr>
        <w:t>肉鸭产业及研究领域有代表性的</w:t>
      </w:r>
      <w:r>
        <w:rPr>
          <w:rFonts w:ascii="Times New Roman" w:hAnsi="Times New Roman" w:eastAsia="宋体" w:cs="Times New Roman"/>
          <w:sz w:val="24"/>
          <w:szCs w:val="24"/>
          <w:highlight w:val="none"/>
        </w:rPr>
        <w:t>科研院</w:t>
      </w:r>
      <w:r>
        <w:rPr>
          <w:rFonts w:hint="eastAsia" w:ascii="Times New Roman" w:hAnsi="Times New Roman" w:eastAsia="宋体" w:cs="Times New Roman"/>
          <w:sz w:val="24"/>
          <w:szCs w:val="24"/>
          <w:highlight w:val="none"/>
        </w:rPr>
        <w:t>校</w:t>
      </w:r>
      <w:r>
        <w:rPr>
          <w:rFonts w:ascii="Times New Roman" w:hAnsi="Times New Roman" w:eastAsia="宋体" w:cs="Times New Roman"/>
          <w:sz w:val="24"/>
          <w:szCs w:val="24"/>
          <w:highlight w:val="none"/>
        </w:rPr>
        <w:t>及</w:t>
      </w:r>
      <w:r>
        <w:rPr>
          <w:rFonts w:hint="eastAsia" w:ascii="Times New Roman" w:hAnsi="Times New Roman" w:eastAsia="宋体" w:cs="Times New Roman"/>
          <w:sz w:val="24"/>
          <w:szCs w:val="24"/>
          <w:highlight w:val="none"/>
        </w:rPr>
        <w:t>企业等</w:t>
      </w:r>
      <w:r>
        <w:rPr>
          <w:rFonts w:hint="eastAsia" w:cs="Times New Roman"/>
          <w:sz w:val="24"/>
          <w:szCs w:val="24"/>
          <w:highlight w:val="none"/>
          <w:lang w:val="en-US" w:eastAsia="zh-CN"/>
        </w:rPr>
        <w:t>12</w:t>
      </w:r>
      <w:r>
        <w:rPr>
          <w:rFonts w:hint="eastAsia" w:ascii="Times New Roman" w:hAnsi="Times New Roman" w:eastAsia="宋体" w:cs="Times New Roman"/>
          <w:sz w:val="24"/>
          <w:szCs w:val="24"/>
          <w:highlight w:val="none"/>
          <w:lang w:val="en-US" w:eastAsia="zh-CN"/>
        </w:rPr>
        <w:t>家单位</w:t>
      </w:r>
      <w:r>
        <w:rPr>
          <w:rFonts w:hint="eastAsia" w:ascii="Times New Roman" w:hAnsi="Times New Roman" w:eastAsia="宋体" w:cs="Times New Roman"/>
          <w:sz w:val="24"/>
          <w:szCs w:val="24"/>
          <w:highlight w:val="none"/>
        </w:rPr>
        <w:t>，有针对性地进</w:t>
      </w:r>
      <w:r>
        <w:rPr>
          <w:rFonts w:ascii="Times New Roman" w:hAnsi="Times New Roman" w:eastAsia="宋体" w:cs="Times New Roman"/>
          <w:sz w:val="24"/>
          <w:szCs w:val="24"/>
          <w:highlight w:val="none"/>
        </w:rPr>
        <w:t>行</w:t>
      </w:r>
      <w:r>
        <w:rPr>
          <w:rFonts w:hint="eastAsia" w:ascii="Times New Roman" w:hAnsi="Times New Roman" w:eastAsia="宋体" w:cs="Times New Roman"/>
          <w:sz w:val="24"/>
          <w:szCs w:val="24"/>
          <w:highlight w:val="none"/>
        </w:rPr>
        <w:t>标准</w:t>
      </w:r>
      <w:r>
        <w:rPr>
          <w:rFonts w:ascii="Times New Roman" w:hAnsi="Times New Roman" w:eastAsia="宋体" w:cs="Times New Roman"/>
          <w:sz w:val="24"/>
          <w:szCs w:val="24"/>
          <w:highlight w:val="none"/>
        </w:rPr>
        <w:t>的</w:t>
      </w:r>
      <w:r>
        <w:rPr>
          <w:rFonts w:hint="eastAsia" w:ascii="Times New Roman" w:hAnsi="Times New Roman" w:eastAsia="宋体" w:cs="Times New Roman"/>
          <w:sz w:val="24"/>
          <w:szCs w:val="24"/>
          <w:highlight w:val="none"/>
        </w:rPr>
        <w:t>定</w:t>
      </w:r>
      <w:r>
        <w:rPr>
          <w:rFonts w:ascii="Times New Roman" w:hAnsi="Times New Roman" w:eastAsia="宋体" w:cs="Times New Roman"/>
          <w:sz w:val="24"/>
          <w:szCs w:val="24"/>
          <w:highlight w:val="none"/>
        </w:rPr>
        <w:t>向</w:t>
      </w:r>
      <w:r>
        <w:rPr>
          <w:rFonts w:hint="eastAsia" w:ascii="Times New Roman" w:hAnsi="Times New Roman" w:eastAsia="宋体" w:cs="Times New Roman"/>
          <w:sz w:val="24"/>
          <w:szCs w:val="24"/>
          <w:highlight w:val="none"/>
        </w:rPr>
        <w:t>征</w:t>
      </w:r>
      <w:r>
        <w:rPr>
          <w:rFonts w:ascii="Times New Roman" w:hAnsi="Times New Roman" w:eastAsia="宋体" w:cs="Times New Roman"/>
          <w:sz w:val="24"/>
          <w:szCs w:val="24"/>
          <w:highlight w:val="none"/>
        </w:rPr>
        <w:t>求意见</w:t>
      </w:r>
      <w:r>
        <w:rPr>
          <w:rFonts w:hint="eastAsia"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目前</w:t>
      </w:r>
      <w:r>
        <w:rPr>
          <w:rFonts w:hint="eastAsia" w:ascii="Times New Roman" w:hAnsi="Times New Roman" w:eastAsia="宋体" w:cs="Times New Roman"/>
          <w:sz w:val="24"/>
          <w:szCs w:val="24"/>
          <w:highlight w:val="none"/>
        </w:rPr>
        <w:t>已收到</w:t>
      </w:r>
      <w:r>
        <w:rPr>
          <w:rFonts w:hint="eastAsia" w:cs="Times New Roman"/>
          <w:sz w:val="24"/>
          <w:szCs w:val="24"/>
          <w:highlight w:val="none"/>
          <w:lang w:val="en-US" w:eastAsia="zh-CN"/>
        </w:rPr>
        <w:t>12</w:t>
      </w:r>
      <w:r>
        <w:rPr>
          <w:rFonts w:hint="eastAsia" w:ascii="Times New Roman" w:hAnsi="Times New Roman" w:eastAsia="宋体" w:cs="Times New Roman"/>
          <w:sz w:val="24"/>
          <w:szCs w:val="24"/>
          <w:highlight w:val="none"/>
        </w:rPr>
        <w:t>个回函，</w:t>
      </w:r>
      <w:r>
        <w:rPr>
          <w:rFonts w:hint="eastAsia" w:cs="Times New Roman"/>
          <w:sz w:val="24"/>
          <w:szCs w:val="24"/>
          <w:highlight w:val="none"/>
          <w:lang w:val="en-US" w:eastAsia="zh-CN"/>
        </w:rPr>
        <w:t>0</w:t>
      </w:r>
      <w:r>
        <w:rPr>
          <w:rFonts w:hint="eastAsia" w:ascii="Times New Roman" w:hAnsi="Times New Roman" w:eastAsia="宋体" w:cs="Times New Roman"/>
          <w:sz w:val="24"/>
          <w:szCs w:val="24"/>
          <w:highlight w:val="none"/>
        </w:rPr>
        <w:t>个没回</w:t>
      </w:r>
      <w:r>
        <w:rPr>
          <w:rFonts w:ascii="Times New Roman" w:hAnsi="Times New Roman" w:eastAsia="宋体" w:cs="Times New Roman"/>
          <w:sz w:val="24"/>
          <w:szCs w:val="24"/>
          <w:highlight w:val="none"/>
        </w:rPr>
        <w:t>函，</w:t>
      </w:r>
      <w:r>
        <w:rPr>
          <w:rFonts w:hint="eastAsia" w:ascii="Times New Roman" w:hAnsi="Times New Roman" w:eastAsia="宋体" w:cs="Times New Roman"/>
          <w:sz w:val="24"/>
          <w:szCs w:val="24"/>
          <w:highlight w:val="none"/>
          <w:lang w:val="en-US" w:eastAsia="zh-CN"/>
        </w:rPr>
        <w:t>共收到意见</w:t>
      </w:r>
      <w:r>
        <w:rPr>
          <w:rFonts w:hint="eastAsia" w:cs="Times New Roman"/>
          <w:sz w:val="24"/>
          <w:szCs w:val="24"/>
          <w:highlight w:val="none"/>
          <w:lang w:val="en-US" w:eastAsia="zh-CN"/>
        </w:rPr>
        <w:t>45</w:t>
      </w:r>
      <w:r>
        <w:rPr>
          <w:rFonts w:hint="eastAsia" w:ascii="Times New Roman" w:hAnsi="Times New Roman" w:eastAsia="宋体" w:cs="Times New Roman"/>
          <w:sz w:val="24"/>
          <w:szCs w:val="24"/>
          <w:highlight w:val="none"/>
          <w:lang w:val="en-US" w:eastAsia="zh-CN"/>
        </w:rPr>
        <w:t>条，</w:t>
      </w:r>
      <w:r>
        <w:rPr>
          <w:rFonts w:hint="eastAsia" w:ascii="Times New Roman" w:hAnsi="Times New Roman" w:eastAsia="宋体" w:cs="Times New Roman"/>
          <w:sz w:val="24"/>
          <w:szCs w:val="24"/>
          <w:highlight w:val="none"/>
        </w:rPr>
        <w:t>对雷同的意见梳理后形成</w:t>
      </w:r>
      <w:r>
        <w:rPr>
          <w:rFonts w:hint="eastAsia" w:cs="Times New Roman"/>
          <w:sz w:val="24"/>
          <w:szCs w:val="24"/>
          <w:highlight w:val="none"/>
          <w:lang w:val="en-US" w:eastAsia="zh-CN"/>
        </w:rPr>
        <w:t>32</w:t>
      </w:r>
      <w:r>
        <w:rPr>
          <w:rFonts w:ascii="Times New Roman" w:hAnsi="Times New Roman" w:eastAsia="宋体" w:cs="Times New Roman"/>
          <w:sz w:val="24"/>
          <w:szCs w:val="24"/>
          <w:highlight w:val="none"/>
        </w:rPr>
        <w:t>条意见，经过研究</w:t>
      </w:r>
      <w:r>
        <w:rPr>
          <w:rFonts w:hint="eastAsia" w:ascii="Times New Roman" w:hAnsi="Times New Roman" w:eastAsia="宋体" w:cs="Times New Roman"/>
          <w:sz w:val="24"/>
          <w:szCs w:val="24"/>
          <w:highlight w:val="none"/>
        </w:rPr>
        <w:t>和</w:t>
      </w:r>
      <w:r>
        <w:rPr>
          <w:rFonts w:ascii="Times New Roman" w:hAnsi="Times New Roman" w:eastAsia="宋体" w:cs="Times New Roman"/>
          <w:sz w:val="24"/>
          <w:szCs w:val="24"/>
          <w:highlight w:val="none"/>
        </w:rPr>
        <w:t>甄别，其中采纳</w:t>
      </w:r>
      <w:r>
        <w:rPr>
          <w:rFonts w:hint="eastAsia" w:cs="Times New Roman"/>
          <w:sz w:val="24"/>
          <w:szCs w:val="24"/>
          <w:highlight w:val="none"/>
          <w:lang w:val="en-US" w:eastAsia="zh-CN"/>
        </w:rPr>
        <w:t>27</w:t>
      </w:r>
      <w:r>
        <w:rPr>
          <w:rFonts w:ascii="Times New Roman" w:hAnsi="Times New Roman" w:eastAsia="宋体" w:cs="Times New Roman"/>
          <w:sz w:val="24"/>
          <w:szCs w:val="24"/>
          <w:highlight w:val="none"/>
        </w:rPr>
        <w:t>条，不采纳</w:t>
      </w:r>
      <w:r>
        <w:rPr>
          <w:rFonts w:hint="eastAsia" w:cs="Times New Roman"/>
          <w:sz w:val="24"/>
          <w:szCs w:val="24"/>
          <w:highlight w:val="none"/>
          <w:lang w:val="en-US" w:eastAsia="zh-CN"/>
        </w:rPr>
        <w:t>1</w:t>
      </w:r>
      <w:r>
        <w:rPr>
          <w:rFonts w:ascii="Times New Roman" w:hAnsi="Times New Roman" w:eastAsia="宋体" w:cs="Times New Roman"/>
          <w:sz w:val="24"/>
          <w:szCs w:val="24"/>
          <w:highlight w:val="none"/>
        </w:rPr>
        <w:t>条，部分采纳</w:t>
      </w:r>
      <w:r>
        <w:rPr>
          <w:rFonts w:hint="eastAsia" w:cs="Times New Roman"/>
          <w:sz w:val="24"/>
          <w:szCs w:val="24"/>
          <w:highlight w:val="none"/>
          <w:lang w:val="en-US" w:eastAsia="zh-CN"/>
        </w:rPr>
        <w:t>4</w:t>
      </w:r>
      <w:r>
        <w:rPr>
          <w:rFonts w:ascii="Times New Roman" w:hAnsi="Times New Roman" w:eastAsia="宋体" w:cs="Times New Roman"/>
          <w:sz w:val="24"/>
          <w:szCs w:val="24"/>
          <w:highlight w:val="none"/>
        </w:rPr>
        <w:t>条</w:t>
      </w:r>
      <w:r>
        <w:rPr>
          <w:rFonts w:hint="eastAsia" w:cs="Times New Roman"/>
          <w:sz w:val="24"/>
          <w:szCs w:val="24"/>
          <w:highlight w:val="none"/>
          <w:lang w:eastAsia="zh-CN"/>
        </w:rPr>
        <w:t>。</w:t>
      </w:r>
    </w:p>
    <w:p w14:paraId="18FDC099">
      <w:pPr>
        <w:spacing w:line="360" w:lineRule="auto"/>
        <w:ind w:firstLine="482" w:firstLineChars="200"/>
        <w:jc w:val="left"/>
        <w:rPr>
          <w:rFonts w:hint="eastAsia" w:ascii="Times New Roman" w:hAnsi="Times New Roman" w:eastAsia="宋体" w:cs="Times New Roman"/>
          <w:b/>
          <w:bCs/>
          <w:sz w:val="24"/>
          <w:szCs w:val="24"/>
          <w:highlight w:val="none"/>
        </w:rPr>
      </w:pPr>
      <w:r>
        <w:rPr>
          <w:rFonts w:hint="eastAsia" w:cs="Times New Roman"/>
          <w:b/>
          <w:bCs/>
          <w:sz w:val="24"/>
          <w:szCs w:val="24"/>
          <w:highlight w:val="none"/>
          <w:lang w:eastAsia="zh-CN"/>
        </w:rPr>
        <w:t>（</w:t>
      </w:r>
      <w:r>
        <w:rPr>
          <w:rFonts w:hint="eastAsia" w:cs="Times New Roman"/>
          <w:b/>
          <w:bCs/>
          <w:sz w:val="24"/>
          <w:szCs w:val="24"/>
          <w:highlight w:val="none"/>
          <w:lang w:val="en-US" w:eastAsia="zh-CN"/>
        </w:rPr>
        <w:t>6</w:t>
      </w:r>
      <w:r>
        <w:rPr>
          <w:rFonts w:hint="eastAsia" w:cs="Times New Roman"/>
          <w:b/>
          <w:bCs/>
          <w:sz w:val="24"/>
          <w:szCs w:val="24"/>
          <w:highlight w:val="none"/>
          <w:lang w:eastAsia="zh-CN"/>
        </w:rPr>
        <w:t>）</w:t>
      </w:r>
      <w:r>
        <w:rPr>
          <w:rFonts w:hint="eastAsia" w:cs="Times New Roman"/>
          <w:b/>
          <w:bCs/>
          <w:sz w:val="24"/>
          <w:szCs w:val="24"/>
          <w:highlight w:val="none"/>
          <w:lang w:val="en-US" w:eastAsia="zh-CN"/>
        </w:rPr>
        <w:t>送审及报批</w:t>
      </w:r>
      <w:r>
        <w:rPr>
          <w:rFonts w:hint="eastAsia" w:ascii="Times New Roman" w:hAnsi="Times New Roman" w:eastAsia="宋体" w:cs="Times New Roman"/>
          <w:b/>
          <w:bCs/>
          <w:sz w:val="24"/>
          <w:szCs w:val="24"/>
          <w:highlight w:val="none"/>
        </w:rPr>
        <w:t>：</w:t>
      </w:r>
    </w:p>
    <w:p w14:paraId="229C5EBB">
      <w:pPr>
        <w:spacing w:line="360" w:lineRule="auto"/>
        <w:ind w:firstLine="480" w:firstLineChars="200"/>
        <w:jc w:val="left"/>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根据各方意见对地方标准内容进行修改完善，形成地方标准送审稿、编制说明、征求意见汇总处理情况等送审材料，</w:t>
      </w:r>
      <w:r>
        <w:rPr>
          <w:rFonts w:hint="eastAsia" w:cs="Times New Roman"/>
          <w:sz w:val="24"/>
          <w:szCs w:val="24"/>
          <w:highlight w:val="none"/>
          <w:lang w:val="en-US" w:eastAsia="zh-CN"/>
        </w:rPr>
        <w:t>报送</w:t>
      </w:r>
      <w:r>
        <w:rPr>
          <w:rFonts w:hint="eastAsia" w:ascii="Times New Roman" w:hAnsi="Times New Roman" w:eastAsia="宋体" w:cs="Times New Roman"/>
          <w:sz w:val="24"/>
          <w:szCs w:val="24"/>
          <w:highlight w:val="none"/>
        </w:rPr>
        <w:t>江苏省</w:t>
      </w:r>
      <w:r>
        <w:rPr>
          <w:rFonts w:hint="eastAsia" w:cs="Times New Roman"/>
          <w:sz w:val="24"/>
          <w:szCs w:val="24"/>
          <w:highlight w:val="none"/>
          <w:lang w:val="en-US" w:eastAsia="zh-CN"/>
        </w:rPr>
        <w:t>农业农村厅</w:t>
      </w:r>
      <w:r>
        <w:rPr>
          <w:rFonts w:hint="eastAsia" w:ascii="Times New Roman" w:hAnsi="Times New Roman" w:eastAsia="宋体" w:cs="Times New Roman"/>
          <w:sz w:val="24"/>
          <w:szCs w:val="24"/>
          <w:highlight w:val="none"/>
        </w:rPr>
        <w:t>审查。</w:t>
      </w:r>
      <w:r>
        <w:rPr>
          <w:rFonts w:hint="eastAsia" w:cs="Times New Roman"/>
          <w:sz w:val="24"/>
          <w:szCs w:val="24"/>
          <w:highlight w:val="none"/>
          <w:lang w:val="en-US" w:eastAsia="zh-CN"/>
        </w:rPr>
        <w:t>2024年9月28日召开标准技术审查会，根据审查会意见修改后形成标准报批稿</w:t>
      </w:r>
      <w:r>
        <w:rPr>
          <w:rFonts w:hint="eastAsia" w:ascii="Times New Roman" w:hAnsi="Times New Roman" w:eastAsia="宋体" w:cs="Times New Roman"/>
          <w:sz w:val="24"/>
          <w:szCs w:val="24"/>
          <w:highlight w:val="none"/>
        </w:rPr>
        <w:t>。</w:t>
      </w:r>
    </w:p>
    <w:p w14:paraId="700BCF13">
      <w:pPr>
        <w:spacing w:line="360" w:lineRule="auto"/>
        <w:jc w:val="left"/>
        <w:rPr>
          <w:rFonts w:hint="eastAsia" w:ascii="黑体" w:hAnsi="黑体" w:eastAsia="黑体"/>
          <w:sz w:val="28"/>
          <w:szCs w:val="28"/>
          <w:highlight w:val="none"/>
          <w:lang w:val="en-US" w:eastAsia="zh-CN"/>
        </w:rPr>
      </w:pPr>
      <w:r>
        <w:rPr>
          <w:rFonts w:hint="eastAsia" w:ascii="黑体" w:hAnsi="黑体" w:eastAsia="黑体"/>
          <w:sz w:val="28"/>
          <w:szCs w:val="28"/>
          <w:highlight w:val="none"/>
          <w:lang w:val="en-US" w:eastAsia="zh-CN"/>
        </w:rPr>
        <w:t>五、编制原则</w:t>
      </w:r>
    </w:p>
    <w:p w14:paraId="3961B35F">
      <w:pPr>
        <w:adjustRightInd w:val="0"/>
        <w:spacing w:before="0" w:beforeAutospacing="0" w:line="360" w:lineRule="auto"/>
        <w:ind w:firstLine="480"/>
        <w:rPr>
          <w:rFonts w:hint="eastAsia" w:ascii="Times New Roman" w:hAnsi="宋体" w:eastAsia="宋体" w:cs="Times New Roman"/>
          <w:b/>
          <w:bCs/>
          <w:sz w:val="24"/>
          <w:szCs w:val="24"/>
          <w:highlight w:val="none"/>
          <w:lang w:val="en-US" w:eastAsia="zh-CN"/>
        </w:rPr>
      </w:pPr>
      <w:r>
        <w:rPr>
          <w:rFonts w:hint="eastAsia" w:hAnsi="宋体" w:cs="Times New Roman"/>
          <w:b/>
          <w:bCs/>
          <w:sz w:val="24"/>
          <w:szCs w:val="24"/>
          <w:highlight w:val="none"/>
          <w:lang w:val="en-US" w:eastAsia="zh-CN"/>
        </w:rPr>
        <w:t>（1）</w:t>
      </w:r>
      <w:r>
        <w:rPr>
          <w:rFonts w:hint="eastAsia" w:ascii="Times New Roman" w:hAnsi="宋体" w:eastAsia="宋体" w:cs="Times New Roman"/>
          <w:b/>
          <w:bCs/>
          <w:sz w:val="24"/>
          <w:szCs w:val="24"/>
          <w:highlight w:val="none"/>
          <w:lang w:val="en-US" w:eastAsia="zh-CN"/>
        </w:rPr>
        <w:t>规范性原则</w:t>
      </w:r>
    </w:p>
    <w:p w14:paraId="2915181E">
      <w:pPr>
        <w:adjustRightInd w:val="0"/>
        <w:spacing w:before="0" w:beforeAutospacing="0" w:line="360" w:lineRule="auto"/>
        <w:ind w:firstLine="480"/>
        <w:rPr>
          <w:rFonts w:hint="eastAsia" w:ascii="Times New Roman" w:hAnsi="宋体" w:eastAsia="宋体" w:cs="Times New Roman"/>
          <w:sz w:val="24"/>
          <w:szCs w:val="24"/>
          <w:highlight w:val="none"/>
          <w:lang w:val="en-US" w:eastAsia="zh-CN"/>
        </w:rPr>
      </w:pPr>
      <w:r>
        <w:rPr>
          <w:rFonts w:hint="eastAsia" w:ascii="Times New Roman" w:hAnsi="宋体" w:eastAsia="宋体" w:cs="Times New Roman"/>
          <w:sz w:val="24"/>
          <w:szCs w:val="24"/>
          <w:highlight w:val="none"/>
          <w:lang w:val="en-US" w:eastAsia="zh-CN"/>
        </w:rPr>
        <w:t>本标准严格按照GB/T 1.1-2020《标准化工作导则第1部分：标准化文件的结构和起草规则》给出的规定和导则进行标准文本的编写。</w:t>
      </w:r>
    </w:p>
    <w:p w14:paraId="6F8966B5">
      <w:pPr>
        <w:adjustRightInd w:val="0"/>
        <w:spacing w:before="0" w:beforeAutospacing="0" w:line="360" w:lineRule="auto"/>
        <w:ind w:firstLine="480"/>
        <w:rPr>
          <w:rFonts w:hint="eastAsia" w:ascii="Times New Roman" w:hAnsi="宋体" w:eastAsia="宋体" w:cs="Times New Roman"/>
          <w:b/>
          <w:bCs/>
          <w:sz w:val="24"/>
          <w:szCs w:val="24"/>
          <w:highlight w:val="none"/>
          <w:lang w:val="en-US" w:eastAsia="zh-CN"/>
        </w:rPr>
      </w:pPr>
      <w:r>
        <w:rPr>
          <w:rFonts w:hint="eastAsia" w:hAnsi="宋体" w:cs="Times New Roman"/>
          <w:b/>
          <w:bCs/>
          <w:sz w:val="24"/>
          <w:szCs w:val="24"/>
          <w:highlight w:val="none"/>
          <w:lang w:val="en-US" w:eastAsia="zh-CN"/>
        </w:rPr>
        <w:t>（2）</w:t>
      </w:r>
      <w:r>
        <w:rPr>
          <w:rFonts w:hint="eastAsia" w:ascii="Times New Roman" w:hAnsi="宋体" w:eastAsia="宋体" w:cs="Times New Roman"/>
          <w:b/>
          <w:bCs/>
          <w:sz w:val="24"/>
          <w:szCs w:val="24"/>
          <w:highlight w:val="none"/>
          <w:lang w:val="en-US" w:eastAsia="zh-CN"/>
        </w:rPr>
        <w:t>统一性原则</w:t>
      </w:r>
    </w:p>
    <w:p w14:paraId="1495FB9C">
      <w:pPr>
        <w:adjustRightInd w:val="0"/>
        <w:spacing w:before="0" w:beforeAutospacing="0" w:line="360" w:lineRule="auto"/>
        <w:ind w:firstLine="480"/>
        <w:rPr>
          <w:rFonts w:hint="eastAsia" w:ascii="Times New Roman" w:hAnsi="宋体" w:eastAsia="宋体" w:cs="Times New Roman"/>
          <w:sz w:val="24"/>
          <w:szCs w:val="24"/>
          <w:highlight w:val="none"/>
          <w:lang w:val="en-US" w:eastAsia="zh-CN"/>
        </w:rPr>
      </w:pPr>
      <w:r>
        <w:rPr>
          <w:rFonts w:hint="eastAsia" w:ascii="Times New Roman" w:hAnsi="宋体" w:eastAsia="宋体" w:cs="Times New Roman"/>
          <w:sz w:val="24"/>
          <w:szCs w:val="24"/>
          <w:highlight w:val="none"/>
          <w:lang w:val="en-US" w:eastAsia="zh-CN"/>
        </w:rPr>
        <w:t>统一性主要体现在文本结构的统一、文体的统一和术语的统一。例如，类似的条款应使用类似的措辞来表达，对于同一个概念应使用同一个术语等。</w:t>
      </w:r>
    </w:p>
    <w:p w14:paraId="3715EAA0">
      <w:pPr>
        <w:adjustRightInd w:val="0"/>
        <w:spacing w:before="0" w:beforeAutospacing="0" w:line="360" w:lineRule="auto"/>
        <w:ind w:firstLine="480"/>
        <w:rPr>
          <w:rFonts w:hint="eastAsia" w:ascii="Times New Roman" w:hAnsi="宋体" w:eastAsia="宋体" w:cs="Times New Roman"/>
          <w:b/>
          <w:bCs/>
          <w:sz w:val="24"/>
          <w:szCs w:val="24"/>
          <w:highlight w:val="none"/>
          <w:lang w:val="en-US" w:eastAsia="zh-CN"/>
        </w:rPr>
      </w:pPr>
      <w:r>
        <w:rPr>
          <w:rFonts w:hint="eastAsia" w:hAnsi="宋体" w:cs="Times New Roman"/>
          <w:b/>
          <w:bCs/>
          <w:sz w:val="24"/>
          <w:szCs w:val="24"/>
          <w:highlight w:val="none"/>
          <w:lang w:val="en-US" w:eastAsia="zh-CN"/>
        </w:rPr>
        <w:t>（3）</w:t>
      </w:r>
      <w:r>
        <w:rPr>
          <w:rFonts w:hint="eastAsia" w:ascii="Times New Roman" w:hAnsi="宋体" w:eastAsia="宋体" w:cs="Times New Roman"/>
          <w:b/>
          <w:bCs/>
          <w:sz w:val="24"/>
          <w:szCs w:val="24"/>
          <w:highlight w:val="none"/>
          <w:lang w:val="en-US" w:eastAsia="zh-CN"/>
        </w:rPr>
        <w:t>协调性原则</w:t>
      </w:r>
    </w:p>
    <w:p w14:paraId="362F4FA0">
      <w:pPr>
        <w:adjustRightInd w:val="0"/>
        <w:spacing w:before="0" w:beforeAutospacing="0" w:line="360" w:lineRule="auto"/>
        <w:ind w:firstLine="480"/>
        <w:rPr>
          <w:rFonts w:hint="eastAsia" w:ascii="Times New Roman" w:hAnsi="宋体" w:eastAsia="宋体" w:cs="Times New Roman"/>
          <w:sz w:val="24"/>
          <w:szCs w:val="24"/>
          <w:highlight w:val="none"/>
          <w:lang w:val="en-US" w:eastAsia="zh-CN"/>
        </w:rPr>
      </w:pPr>
      <w:r>
        <w:rPr>
          <w:rFonts w:hint="eastAsia" w:ascii="Times New Roman" w:hAnsi="宋体" w:eastAsia="宋体" w:cs="Times New Roman"/>
          <w:sz w:val="24"/>
          <w:szCs w:val="24"/>
          <w:highlight w:val="none"/>
          <w:lang w:val="en-US" w:eastAsia="zh-CN"/>
        </w:rPr>
        <w:t>本标准中的技术内容与行业基础通用知识相协调。</w:t>
      </w:r>
    </w:p>
    <w:p w14:paraId="7326C1CE">
      <w:pPr>
        <w:adjustRightInd w:val="0"/>
        <w:spacing w:before="0" w:beforeAutospacing="0" w:line="360" w:lineRule="auto"/>
        <w:ind w:firstLine="480"/>
        <w:rPr>
          <w:rFonts w:hint="eastAsia" w:ascii="Times New Roman" w:hAnsi="宋体" w:eastAsia="宋体" w:cs="Times New Roman"/>
          <w:b/>
          <w:bCs/>
          <w:sz w:val="24"/>
          <w:szCs w:val="24"/>
          <w:highlight w:val="none"/>
          <w:lang w:val="en-US" w:eastAsia="zh-CN"/>
        </w:rPr>
      </w:pPr>
      <w:r>
        <w:rPr>
          <w:rFonts w:hint="eastAsia" w:hAnsi="宋体" w:cs="Times New Roman"/>
          <w:b/>
          <w:bCs/>
          <w:sz w:val="24"/>
          <w:szCs w:val="24"/>
          <w:highlight w:val="none"/>
          <w:lang w:val="en-US" w:eastAsia="zh-CN"/>
        </w:rPr>
        <w:t>（4）</w:t>
      </w:r>
      <w:r>
        <w:rPr>
          <w:rFonts w:hint="eastAsia" w:ascii="Times New Roman" w:hAnsi="宋体" w:eastAsia="宋体" w:cs="Times New Roman"/>
          <w:b/>
          <w:bCs/>
          <w:sz w:val="24"/>
          <w:szCs w:val="24"/>
          <w:highlight w:val="none"/>
          <w:lang w:val="en-US" w:eastAsia="zh-CN"/>
        </w:rPr>
        <w:t>适用性原则</w:t>
      </w:r>
    </w:p>
    <w:p w14:paraId="27669CA3">
      <w:pPr>
        <w:adjustRightInd w:val="0"/>
        <w:spacing w:before="0" w:beforeAutospacing="0" w:line="360" w:lineRule="auto"/>
        <w:ind w:firstLine="480"/>
        <w:rPr>
          <w:rFonts w:hint="default" w:ascii="黑体" w:hAnsi="黑体" w:eastAsia="黑体"/>
          <w:sz w:val="28"/>
          <w:szCs w:val="28"/>
          <w:highlight w:val="none"/>
          <w:lang w:val="en-US" w:eastAsia="zh-CN"/>
        </w:rPr>
      </w:pPr>
      <w:r>
        <w:rPr>
          <w:rFonts w:hint="eastAsia" w:ascii="Times New Roman" w:hAnsi="宋体" w:eastAsia="宋体" w:cs="Times New Roman"/>
          <w:sz w:val="24"/>
          <w:szCs w:val="24"/>
          <w:highlight w:val="none"/>
          <w:lang w:val="en-US" w:eastAsia="zh-CN"/>
        </w:rPr>
        <w:t>本标准在考虑上述原则的基础上，根据收集整理的资料，结合目前国内的实际情况以及生产实践的相关环节，保证标准内容是便于实施的。</w:t>
      </w:r>
    </w:p>
    <w:p w14:paraId="298E5A0E">
      <w:pPr>
        <w:spacing w:line="360" w:lineRule="auto"/>
        <w:jc w:val="left"/>
        <w:rPr>
          <w:rFonts w:hint="eastAsia" w:ascii="黑体" w:hAnsi="黑体" w:eastAsia="黑体"/>
          <w:sz w:val="28"/>
          <w:szCs w:val="28"/>
          <w:highlight w:val="none"/>
          <w:lang w:val="en-US" w:eastAsia="zh-CN"/>
        </w:rPr>
      </w:pPr>
      <w:r>
        <w:rPr>
          <w:rFonts w:hint="eastAsia" w:ascii="黑体" w:hAnsi="黑体" w:eastAsia="黑体"/>
          <w:sz w:val="28"/>
          <w:szCs w:val="28"/>
          <w:highlight w:val="none"/>
          <w:lang w:val="en-US" w:eastAsia="zh-CN"/>
        </w:rPr>
        <w:t>六</w:t>
      </w:r>
      <w:r>
        <w:rPr>
          <w:rFonts w:hint="eastAsia" w:ascii="黑体" w:hAnsi="黑体" w:eastAsia="黑体"/>
          <w:sz w:val="28"/>
          <w:szCs w:val="28"/>
          <w:highlight w:val="none"/>
        </w:rPr>
        <w:t>、</w:t>
      </w:r>
      <w:r>
        <w:rPr>
          <w:rFonts w:hint="eastAsia" w:ascii="黑体" w:hAnsi="黑体" w:eastAsia="黑体"/>
          <w:sz w:val="28"/>
          <w:szCs w:val="28"/>
          <w:highlight w:val="none"/>
          <w:lang w:val="en-US" w:eastAsia="zh-CN"/>
        </w:rPr>
        <w:t>主要内容及技术指标确定的依据</w:t>
      </w:r>
    </w:p>
    <w:p w14:paraId="5FB929ED">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标准编制</w:t>
      </w:r>
      <w:r>
        <w:rPr>
          <w:rFonts w:hint="default" w:ascii="Times New Roman" w:hAnsi="Times New Roman" w:cs="Times New Roman" w:eastAsiaTheme="minorEastAsia"/>
          <w:color w:val="000000"/>
          <w:kern w:val="2"/>
          <w:sz w:val="24"/>
          <w:szCs w:val="24"/>
          <w:highlight w:val="none"/>
          <w:lang w:val="en-US" w:eastAsia="zh-CN" w:bidi="ar-SA"/>
        </w:rPr>
        <w:t>小组查阅包括</w:t>
      </w:r>
      <w:r>
        <w:rPr>
          <w:rFonts w:hint="eastAsia" w:ascii="Times New Roman" w:hAnsi="Times New Roman" w:cs="Times New Roman" w:eastAsiaTheme="minorEastAsia"/>
          <w:color w:val="000000"/>
          <w:kern w:val="2"/>
          <w:sz w:val="24"/>
          <w:szCs w:val="24"/>
          <w:highlight w:val="none"/>
          <w:lang w:val="en-US" w:eastAsia="zh-CN" w:bidi="ar-SA"/>
        </w:rPr>
        <w:t>场地建设</w:t>
      </w:r>
      <w:r>
        <w:rPr>
          <w:rFonts w:hint="default" w:ascii="Times New Roman" w:hAnsi="Times New Roman"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设施设备、饲养管理、疫病防治</w:t>
      </w:r>
      <w:r>
        <w:rPr>
          <w:rFonts w:hint="default" w:ascii="Times New Roman" w:hAnsi="Times New Roman" w:cs="Times New Roman" w:eastAsiaTheme="minorEastAsia"/>
          <w:color w:val="000000"/>
          <w:kern w:val="2"/>
          <w:sz w:val="24"/>
          <w:szCs w:val="24"/>
          <w:highlight w:val="none"/>
          <w:lang w:val="en-US" w:eastAsia="zh-CN" w:bidi="ar-SA"/>
        </w:rPr>
        <w:t>等方面的文件和资料，同时通过对</w:t>
      </w:r>
      <w:r>
        <w:rPr>
          <w:rFonts w:hint="eastAsia" w:ascii="Times New Roman" w:hAnsi="Times New Roman" w:cs="Times New Roman" w:eastAsiaTheme="minorEastAsia"/>
          <w:color w:val="000000"/>
          <w:kern w:val="2"/>
          <w:sz w:val="24"/>
          <w:szCs w:val="24"/>
          <w:highlight w:val="none"/>
          <w:lang w:val="en-US" w:eastAsia="zh-CN" w:bidi="ar-SA"/>
        </w:rPr>
        <w:t>肉鸭养殖场</w:t>
      </w:r>
      <w:r>
        <w:rPr>
          <w:rFonts w:hint="default" w:ascii="Times New Roman" w:hAnsi="Times New Roman" w:cs="Times New Roman" w:eastAsiaTheme="minorEastAsia"/>
          <w:color w:val="000000"/>
          <w:kern w:val="2"/>
          <w:sz w:val="24"/>
          <w:szCs w:val="24"/>
          <w:highlight w:val="none"/>
          <w:lang w:val="en-US" w:eastAsia="zh-CN" w:bidi="ar-SA"/>
        </w:rPr>
        <w:t>的走访和调查，结合</w:t>
      </w:r>
      <w:r>
        <w:rPr>
          <w:rFonts w:hint="eastAsia" w:ascii="Times New Roman" w:hAnsi="Times New Roman" w:cs="Times New Roman" w:eastAsiaTheme="minorEastAsia"/>
          <w:color w:val="000000"/>
          <w:kern w:val="2"/>
          <w:sz w:val="24"/>
          <w:szCs w:val="24"/>
          <w:highlight w:val="none"/>
          <w:lang w:val="en-US" w:eastAsia="zh-CN" w:bidi="ar-SA"/>
        </w:rPr>
        <w:t>肉鸭层叠式笼养生产</w:t>
      </w:r>
      <w:r>
        <w:rPr>
          <w:rFonts w:hint="default" w:ascii="Times New Roman" w:hAnsi="Times New Roman" w:cs="Times New Roman" w:eastAsiaTheme="minorEastAsia"/>
          <w:color w:val="000000"/>
          <w:kern w:val="2"/>
          <w:sz w:val="24"/>
          <w:szCs w:val="24"/>
          <w:highlight w:val="none"/>
          <w:lang w:val="en-US" w:eastAsia="zh-CN" w:bidi="ar-SA"/>
        </w:rPr>
        <w:t>的实践经验</w:t>
      </w:r>
      <w:r>
        <w:rPr>
          <w:rFonts w:hint="eastAsia" w:ascii="Times New Roman" w:hAnsi="Times New Roman" w:cs="Times New Roman" w:eastAsiaTheme="minorEastAsia"/>
          <w:color w:val="000000"/>
          <w:kern w:val="2"/>
          <w:sz w:val="24"/>
          <w:szCs w:val="24"/>
          <w:highlight w:val="none"/>
          <w:lang w:val="en-US" w:eastAsia="zh-CN" w:bidi="ar-SA"/>
        </w:rPr>
        <w:t>及</w:t>
      </w:r>
      <w:r>
        <w:rPr>
          <w:rFonts w:hint="default" w:ascii="Times New Roman" w:hAnsi="Times New Roman" w:cs="Times New Roman" w:eastAsiaTheme="minorEastAsia"/>
          <w:color w:val="000000"/>
          <w:kern w:val="2"/>
          <w:sz w:val="24"/>
          <w:szCs w:val="24"/>
          <w:highlight w:val="none"/>
          <w:lang w:val="en-US" w:eastAsia="zh-CN" w:bidi="ar-SA"/>
        </w:rPr>
        <w:t>第一手数据收集，将主要性能指标和管理技术规范纳入标准内容</w:t>
      </w:r>
      <w:r>
        <w:rPr>
          <w:rFonts w:hint="eastAsia" w:ascii="Times New Roman" w:hAnsi="Times New Roman" w:cs="Times New Roman" w:eastAsiaTheme="minorEastAsia"/>
          <w:color w:val="000000"/>
          <w:kern w:val="2"/>
          <w:sz w:val="24"/>
          <w:szCs w:val="24"/>
          <w:highlight w:val="none"/>
          <w:lang w:val="en-US" w:eastAsia="zh-CN" w:bidi="ar-SA"/>
        </w:rPr>
        <w:t>，并对其进行了通俗易懂的描述，方便标准的推广应用。</w:t>
      </w:r>
    </w:p>
    <w:p w14:paraId="6204A9F5">
      <w:pPr>
        <w:keepNext w:val="0"/>
        <w:keepLines w:val="0"/>
        <w:pageBreakBefore w:val="0"/>
        <w:kinsoku/>
        <w:wordWrap/>
        <w:overflowPunct/>
        <w:topLinePunct w:val="0"/>
        <w:bidi w:val="0"/>
        <w:adjustRightInd/>
        <w:snapToGrid/>
        <w:spacing w:line="360" w:lineRule="auto"/>
        <w:ind w:firstLine="480" w:firstLineChars="200"/>
        <w:textAlignment w:val="auto"/>
        <w:rPr>
          <w:rFonts w:hint="default" w:ascii="Times New Roman" w:hAnsi="Times New Roman" w:cs="Times New Roman" w:eastAsiaTheme="minorEastAsia"/>
          <w:color w:val="000000"/>
          <w:kern w:val="2"/>
          <w:sz w:val="24"/>
          <w:szCs w:val="24"/>
          <w:highlight w:val="none"/>
          <w:lang w:val="en-US" w:eastAsia="zh-CN" w:bidi="ar-SA"/>
        </w:rPr>
      </w:pPr>
      <w:r>
        <w:rPr>
          <w:rFonts w:hint="default" w:ascii="Times New Roman" w:hAnsi="Times New Roman" w:cs="Times New Roman" w:eastAsiaTheme="minorEastAsia"/>
          <w:color w:val="000000"/>
          <w:kern w:val="2"/>
          <w:sz w:val="24"/>
          <w:szCs w:val="24"/>
          <w:highlight w:val="none"/>
          <w:lang w:val="en-US" w:eastAsia="zh-CN" w:bidi="ar-SA"/>
        </w:rPr>
        <w:t>本文件共包括</w:t>
      </w:r>
      <w:r>
        <w:rPr>
          <w:rFonts w:hint="eastAsia" w:cs="Times New Roman" w:eastAsiaTheme="minorEastAsia"/>
          <w:color w:val="000000"/>
          <w:kern w:val="2"/>
          <w:sz w:val="24"/>
          <w:szCs w:val="24"/>
          <w:highlight w:val="none"/>
          <w:lang w:val="en-US" w:eastAsia="zh-CN" w:bidi="ar-SA"/>
        </w:rPr>
        <w:t>11</w:t>
      </w:r>
      <w:r>
        <w:rPr>
          <w:rFonts w:hint="default" w:ascii="Times New Roman" w:hAnsi="Times New Roman" w:cs="Times New Roman" w:eastAsiaTheme="minorEastAsia"/>
          <w:color w:val="000000"/>
          <w:kern w:val="2"/>
          <w:sz w:val="24"/>
          <w:szCs w:val="24"/>
          <w:highlight w:val="none"/>
          <w:lang w:val="en-US" w:eastAsia="zh-CN" w:bidi="ar-SA"/>
        </w:rPr>
        <w:t>章：1.范围；2.规范性引用文件；3.术语和定义；4.选址与布局</w:t>
      </w:r>
      <w:r>
        <w:rPr>
          <w:rFonts w:hint="eastAsia" w:ascii="Times New Roman" w:hAnsi="Times New Roman" w:cs="Times New Roman" w:eastAsiaTheme="minorEastAsia"/>
          <w:color w:val="000000"/>
          <w:kern w:val="2"/>
          <w:sz w:val="24"/>
          <w:szCs w:val="24"/>
          <w:highlight w:val="none"/>
          <w:lang w:val="en-US" w:eastAsia="zh-CN" w:bidi="ar-SA"/>
        </w:rPr>
        <w:t>；5.</w:t>
      </w:r>
      <w:r>
        <w:rPr>
          <w:rFonts w:hint="default" w:ascii="Times New Roman" w:hAnsi="Times New Roman" w:cs="Times New Roman" w:eastAsiaTheme="minorEastAsia"/>
          <w:color w:val="000000"/>
          <w:kern w:val="2"/>
          <w:sz w:val="24"/>
          <w:szCs w:val="24"/>
          <w:highlight w:val="none"/>
          <w:lang w:val="en-US" w:eastAsia="zh-CN" w:bidi="ar-SA"/>
        </w:rPr>
        <w:t>设施设备</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cs="Times New Roman" w:eastAsiaTheme="minorEastAsia"/>
          <w:color w:val="000000"/>
          <w:kern w:val="2"/>
          <w:sz w:val="24"/>
          <w:szCs w:val="24"/>
          <w:highlight w:val="none"/>
          <w:lang w:val="en-US" w:eastAsia="zh-CN" w:bidi="ar-SA"/>
        </w:rPr>
        <w:t>6.品种选择与引种；7</w:t>
      </w:r>
      <w:r>
        <w:rPr>
          <w:rFonts w:hint="eastAsia" w:ascii="Times New Roman" w:hAnsi="Times New Roman" w:cs="Times New Roman" w:eastAsiaTheme="minorEastAsia"/>
          <w:color w:val="000000"/>
          <w:kern w:val="2"/>
          <w:sz w:val="24"/>
          <w:szCs w:val="24"/>
          <w:highlight w:val="none"/>
          <w:lang w:val="en-US" w:eastAsia="zh-CN" w:bidi="ar-SA"/>
        </w:rPr>
        <w:t>.</w:t>
      </w:r>
      <w:r>
        <w:rPr>
          <w:rFonts w:hint="default" w:ascii="Times New Roman" w:hAnsi="Times New Roman" w:cs="Times New Roman" w:eastAsiaTheme="minorEastAsia"/>
          <w:color w:val="000000"/>
          <w:kern w:val="2"/>
          <w:sz w:val="24"/>
          <w:szCs w:val="24"/>
          <w:highlight w:val="none"/>
          <w:lang w:val="en-US" w:eastAsia="zh-CN" w:bidi="ar-SA"/>
        </w:rPr>
        <w:t>饲养管理</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cs="Times New Roman" w:eastAsiaTheme="minorEastAsia"/>
          <w:color w:val="000000"/>
          <w:kern w:val="2"/>
          <w:sz w:val="24"/>
          <w:szCs w:val="24"/>
          <w:highlight w:val="none"/>
          <w:lang w:val="en-US" w:eastAsia="zh-CN" w:bidi="ar-SA"/>
        </w:rPr>
        <w:t>8.环境控制；9</w:t>
      </w:r>
      <w:r>
        <w:rPr>
          <w:rFonts w:hint="eastAsia" w:ascii="Times New Roman" w:hAnsi="Times New Roman" w:cs="Times New Roman" w:eastAsiaTheme="minorEastAsia"/>
          <w:color w:val="000000"/>
          <w:kern w:val="2"/>
          <w:sz w:val="24"/>
          <w:szCs w:val="24"/>
          <w:highlight w:val="none"/>
          <w:lang w:val="en-US" w:eastAsia="zh-CN" w:bidi="ar-SA"/>
        </w:rPr>
        <w:t>.</w:t>
      </w:r>
      <w:r>
        <w:rPr>
          <w:rFonts w:hint="default" w:ascii="Times New Roman" w:hAnsi="Times New Roman" w:cs="Times New Roman" w:eastAsiaTheme="minorEastAsia"/>
          <w:color w:val="000000"/>
          <w:kern w:val="2"/>
          <w:sz w:val="24"/>
          <w:szCs w:val="24"/>
          <w:highlight w:val="none"/>
          <w:lang w:val="en-US" w:eastAsia="zh-CN" w:bidi="ar-SA"/>
        </w:rPr>
        <w:t>疫病防治</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cs="Times New Roman" w:eastAsiaTheme="minorEastAsia"/>
          <w:color w:val="000000"/>
          <w:kern w:val="2"/>
          <w:sz w:val="24"/>
          <w:szCs w:val="24"/>
          <w:highlight w:val="none"/>
          <w:lang w:val="en-US" w:eastAsia="zh-CN" w:bidi="ar-SA"/>
        </w:rPr>
        <w:t>10</w:t>
      </w:r>
      <w:r>
        <w:rPr>
          <w:rFonts w:hint="eastAsia" w:ascii="Times New Roman" w:hAnsi="Times New Roman" w:cs="Times New Roman" w:eastAsiaTheme="minorEastAsia"/>
          <w:color w:val="000000"/>
          <w:kern w:val="2"/>
          <w:sz w:val="24"/>
          <w:szCs w:val="24"/>
          <w:highlight w:val="none"/>
          <w:lang w:val="en-US" w:eastAsia="zh-CN" w:bidi="ar-SA"/>
        </w:rPr>
        <w:t>.</w:t>
      </w:r>
      <w:r>
        <w:rPr>
          <w:rFonts w:hint="default" w:ascii="Times New Roman" w:hAnsi="Times New Roman" w:cs="Times New Roman" w:eastAsiaTheme="minorEastAsia"/>
          <w:color w:val="000000"/>
          <w:kern w:val="2"/>
          <w:sz w:val="24"/>
          <w:szCs w:val="24"/>
          <w:highlight w:val="none"/>
          <w:lang w:val="en-US" w:eastAsia="zh-CN" w:bidi="ar-SA"/>
        </w:rPr>
        <w:t>废弃物</w:t>
      </w:r>
      <w:r>
        <w:rPr>
          <w:rFonts w:hint="eastAsia" w:cs="Times New Roman" w:eastAsiaTheme="minorEastAsia"/>
          <w:color w:val="000000"/>
          <w:kern w:val="2"/>
          <w:sz w:val="24"/>
          <w:szCs w:val="24"/>
          <w:highlight w:val="none"/>
          <w:lang w:val="en-US" w:eastAsia="zh-CN" w:bidi="ar-SA"/>
        </w:rPr>
        <w:t>收集与</w:t>
      </w:r>
      <w:r>
        <w:rPr>
          <w:rFonts w:hint="default" w:ascii="Times New Roman" w:hAnsi="Times New Roman" w:cs="Times New Roman" w:eastAsiaTheme="minorEastAsia"/>
          <w:color w:val="000000"/>
          <w:kern w:val="2"/>
          <w:sz w:val="24"/>
          <w:szCs w:val="24"/>
          <w:highlight w:val="none"/>
          <w:lang w:val="en-US" w:eastAsia="zh-CN" w:bidi="ar-SA"/>
        </w:rPr>
        <w:t>处理</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cs="Times New Roman" w:eastAsiaTheme="minorEastAsia"/>
          <w:color w:val="000000"/>
          <w:kern w:val="2"/>
          <w:sz w:val="24"/>
          <w:szCs w:val="24"/>
          <w:highlight w:val="none"/>
          <w:lang w:val="en-US" w:eastAsia="zh-CN" w:bidi="ar-SA"/>
        </w:rPr>
        <w:t>11</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cs="Times New Roman" w:eastAsiaTheme="minorEastAsia"/>
          <w:color w:val="000000"/>
          <w:kern w:val="2"/>
          <w:sz w:val="24"/>
          <w:szCs w:val="24"/>
          <w:highlight w:val="none"/>
          <w:lang w:val="en-US" w:eastAsia="zh-CN" w:bidi="ar-SA"/>
        </w:rPr>
        <w:t>档案记录</w:t>
      </w:r>
      <w:r>
        <w:rPr>
          <w:rFonts w:hint="eastAsia" w:ascii="Times New Roman" w:hAnsi="Times New Roman" w:cs="Times New Roman" w:eastAsiaTheme="minorEastAsia"/>
          <w:color w:val="000000"/>
          <w:kern w:val="2"/>
          <w:sz w:val="24"/>
          <w:szCs w:val="24"/>
          <w:highlight w:val="none"/>
          <w:lang w:val="en-US" w:eastAsia="zh-CN" w:bidi="ar-SA"/>
        </w:rPr>
        <w:t>。</w:t>
      </w:r>
      <w:r>
        <w:rPr>
          <w:rFonts w:hint="default" w:ascii="Times New Roman" w:hAnsi="Times New Roman" w:cs="Times New Roman" w:eastAsiaTheme="minorEastAsia"/>
          <w:color w:val="000000"/>
          <w:kern w:val="2"/>
          <w:sz w:val="24"/>
          <w:szCs w:val="24"/>
          <w:highlight w:val="none"/>
          <w:lang w:val="en-US" w:eastAsia="zh-CN" w:bidi="ar-SA"/>
        </w:rPr>
        <w:t>本文件主要技术内容及其确定依据说明如下：</w:t>
      </w:r>
    </w:p>
    <w:p w14:paraId="3F7C8799">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b/>
          <w:bCs/>
          <w:color w:val="000000"/>
          <w:sz w:val="24"/>
          <w:szCs w:val="24"/>
          <w:highlight w:val="none"/>
          <w:lang w:val="en-US" w:eastAsia="zh-CN"/>
        </w:rPr>
      </w:pPr>
      <w:r>
        <w:rPr>
          <w:rFonts w:hint="default" w:ascii="Times New Roman" w:hAnsi="Times New Roman" w:cs="Times New Roman" w:eastAsiaTheme="minorEastAsia"/>
          <w:b/>
          <w:bCs/>
          <w:color w:val="000000"/>
          <w:sz w:val="24"/>
          <w:szCs w:val="24"/>
          <w:highlight w:val="none"/>
          <w:lang w:val="en-US" w:eastAsia="zh-CN"/>
        </w:rPr>
        <w:t>1.范围</w:t>
      </w:r>
    </w:p>
    <w:p w14:paraId="7C04EFA1">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color w:val="000000"/>
          <w:sz w:val="24"/>
          <w:szCs w:val="24"/>
          <w:highlight w:val="none"/>
          <w:lang w:val="en-US" w:eastAsia="zh-CN"/>
        </w:rPr>
      </w:pPr>
      <w:r>
        <w:rPr>
          <w:rFonts w:hint="default" w:ascii="Times New Roman" w:hAnsi="Times New Roman" w:cs="Times New Roman" w:eastAsiaTheme="minorEastAsia"/>
          <w:color w:val="000000"/>
          <w:sz w:val="24"/>
          <w:szCs w:val="24"/>
          <w:highlight w:val="none"/>
          <w:lang w:val="en-US" w:eastAsia="zh-CN"/>
        </w:rPr>
        <w:t>为了统一</w:t>
      </w:r>
      <w:r>
        <w:rPr>
          <w:rFonts w:hint="eastAsia" w:cs="Times New Roman" w:eastAsiaTheme="minorEastAsia"/>
          <w:color w:val="000000"/>
          <w:sz w:val="24"/>
          <w:szCs w:val="24"/>
          <w:highlight w:val="none"/>
          <w:lang w:val="en-US" w:eastAsia="zh-CN"/>
        </w:rPr>
        <w:t>肉鸭层叠式笼养管理技术</w:t>
      </w:r>
      <w:r>
        <w:rPr>
          <w:rFonts w:hint="default" w:ascii="Times New Roman" w:hAnsi="Times New Roman" w:cs="Times New Roman" w:eastAsiaTheme="minorEastAsia"/>
          <w:color w:val="000000"/>
          <w:sz w:val="24"/>
          <w:szCs w:val="24"/>
          <w:highlight w:val="none"/>
          <w:lang w:val="en-US" w:eastAsia="zh-CN"/>
        </w:rPr>
        <w:t>指标，本文件规定了</w:t>
      </w:r>
      <w:r>
        <w:rPr>
          <w:rFonts w:hint="eastAsia" w:cs="Times New Roman" w:eastAsiaTheme="minorEastAsia"/>
          <w:color w:val="000000"/>
          <w:sz w:val="24"/>
          <w:szCs w:val="24"/>
          <w:highlight w:val="none"/>
          <w:lang w:val="en-US" w:eastAsia="zh-CN"/>
        </w:rPr>
        <w:t>肉鸭层叠式笼养管理技术规程的相关术语和定义、选址与布局、设施设备、饲养管理、环境控制、疫病防控、废弃物收集与处理和档案记录。</w:t>
      </w:r>
      <w:r>
        <w:rPr>
          <w:rFonts w:hint="default" w:ascii="Times New Roman" w:hAnsi="Times New Roman" w:cs="Times New Roman" w:eastAsiaTheme="minorEastAsia"/>
          <w:color w:val="000000"/>
          <w:sz w:val="24"/>
          <w:szCs w:val="24"/>
          <w:highlight w:val="none"/>
          <w:lang w:val="en-US" w:eastAsia="zh-CN"/>
        </w:rPr>
        <w:t>本文件适用于肉鸭层叠式笼养模式的生产管理。</w:t>
      </w:r>
    </w:p>
    <w:p w14:paraId="79DE7F7A">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b/>
          <w:bCs/>
          <w:color w:val="000000"/>
          <w:sz w:val="24"/>
          <w:szCs w:val="24"/>
          <w:highlight w:val="none"/>
          <w:lang w:val="en-US" w:eastAsia="zh-CN"/>
        </w:rPr>
      </w:pPr>
      <w:r>
        <w:rPr>
          <w:rFonts w:hint="default" w:ascii="Times New Roman" w:hAnsi="Times New Roman" w:cs="Times New Roman" w:eastAsiaTheme="minorEastAsia"/>
          <w:b/>
          <w:bCs/>
          <w:color w:val="000000"/>
          <w:sz w:val="24"/>
          <w:szCs w:val="24"/>
          <w:highlight w:val="none"/>
          <w:lang w:val="en-US" w:eastAsia="zh-CN"/>
        </w:rPr>
        <w:t>2.规范性引用文件</w:t>
      </w:r>
    </w:p>
    <w:p w14:paraId="5ED29E93">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color w:val="000000"/>
          <w:sz w:val="24"/>
          <w:szCs w:val="24"/>
          <w:highlight w:val="none"/>
          <w:lang w:val="en-US" w:eastAsia="zh-CN"/>
        </w:rPr>
      </w:pPr>
      <w:r>
        <w:rPr>
          <w:rFonts w:hint="default" w:ascii="Times New Roman" w:hAnsi="Times New Roman" w:cs="Times New Roman" w:eastAsiaTheme="minorEastAsia"/>
          <w:color w:val="000000"/>
          <w:sz w:val="24"/>
          <w:szCs w:val="24"/>
          <w:highlight w:val="none"/>
          <w:lang w:val="en-US" w:eastAsia="zh-CN"/>
        </w:rPr>
        <w:t>根据标准引用需求，本文件共引用了</w:t>
      </w:r>
      <w:r>
        <w:rPr>
          <w:rFonts w:hint="eastAsia" w:cs="Times New Roman" w:eastAsiaTheme="minorEastAsia"/>
          <w:color w:val="000000"/>
          <w:sz w:val="24"/>
          <w:szCs w:val="24"/>
          <w:highlight w:val="none"/>
          <w:lang w:val="en-US" w:eastAsia="zh-CN"/>
        </w:rPr>
        <w:t>10</w:t>
      </w:r>
      <w:r>
        <w:rPr>
          <w:rFonts w:hint="default" w:ascii="Times New Roman" w:hAnsi="Times New Roman" w:cs="Times New Roman" w:eastAsiaTheme="minorEastAsia"/>
          <w:color w:val="000000"/>
          <w:sz w:val="24"/>
          <w:szCs w:val="24"/>
          <w:highlight w:val="none"/>
          <w:lang w:val="en-US" w:eastAsia="zh-CN"/>
        </w:rPr>
        <w:t>项标准，其中包括</w:t>
      </w:r>
      <w:r>
        <w:rPr>
          <w:rFonts w:hint="eastAsia" w:cs="Times New Roman" w:eastAsiaTheme="minorEastAsia"/>
          <w:color w:val="000000"/>
          <w:sz w:val="24"/>
          <w:szCs w:val="24"/>
          <w:highlight w:val="none"/>
          <w:lang w:val="en-US" w:eastAsia="zh-CN"/>
        </w:rPr>
        <w:t>4</w:t>
      </w:r>
      <w:r>
        <w:rPr>
          <w:rFonts w:hint="default" w:ascii="Times New Roman" w:hAnsi="Times New Roman" w:cs="Times New Roman" w:eastAsiaTheme="minorEastAsia"/>
          <w:color w:val="000000"/>
          <w:sz w:val="24"/>
          <w:szCs w:val="24"/>
          <w:highlight w:val="none"/>
          <w:lang w:val="en-US" w:eastAsia="zh-CN"/>
        </w:rPr>
        <w:t>项国家标准、</w:t>
      </w:r>
      <w:r>
        <w:rPr>
          <w:rFonts w:hint="eastAsia" w:cs="Times New Roman" w:eastAsiaTheme="minorEastAsia"/>
          <w:color w:val="000000"/>
          <w:sz w:val="24"/>
          <w:szCs w:val="24"/>
          <w:highlight w:val="none"/>
          <w:lang w:val="en-US" w:eastAsia="zh-CN"/>
        </w:rPr>
        <w:t>6</w:t>
      </w:r>
      <w:r>
        <w:rPr>
          <w:rFonts w:hint="default" w:ascii="Times New Roman" w:hAnsi="Times New Roman" w:cs="Times New Roman" w:eastAsiaTheme="minorEastAsia"/>
          <w:color w:val="000000"/>
          <w:sz w:val="24"/>
          <w:szCs w:val="24"/>
          <w:highlight w:val="none"/>
          <w:lang w:val="en-US" w:eastAsia="zh-CN"/>
        </w:rPr>
        <w:t>项农业行业标准。具体如下：</w:t>
      </w:r>
      <w:r>
        <w:rPr>
          <w:rFonts w:hint="eastAsia" w:cs="Times New Roman" w:eastAsiaTheme="minorEastAsia"/>
          <w:color w:val="000000"/>
          <w:sz w:val="24"/>
          <w:szCs w:val="24"/>
          <w:highlight w:val="none"/>
          <w:lang w:val="en-US" w:eastAsia="zh-CN"/>
        </w:rPr>
        <w:t>《</w:t>
      </w:r>
      <w:r>
        <w:rPr>
          <w:rFonts w:hint="eastAsia" w:eastAsiaTheme="minorEastAsia"/>
          <w:color w:val="000000"/>
          <w:sz w:val="24"/>
          <w:highlight w:val="none"/>
        </w:rPr>
        <w:t>GB 5749  生活饮用水卫生标准</w:t>
      </w:r>
      <w:r>
        <w:rPr>
          <w:rFonts w:hint="eastAsia" w:cs="Times New Roman" w:eastAsiaTheme="minorEastAsia"/>
          <w:color w:val="000000"/>
          <w:sz w:val="24"/>
          <w:szCs w:val="24"/>
          <w:highlight w:val="none"/>
          <w:lang w:val="en-US" w:eastAsia="zh-CN"/>
        </w:rPr>
        <w:t>》</w:t>
      </w:r>
      <w:r>
        <w:rPr>
          <w:rFonts w:hint="default" w:ascii="Times New Roman" w:hAnsi="Times New Roman" w:cs="Times New Roman" w:eastAsiaTheme="minorEastAsia"/>
          <w:color w:val="000000"/>
          <w:sz w:val="24"/>
          <w:szCs w:val="24"/>
          <w:highlight w:val="none"/>
          <w:lang w:val="en-US" w:eastAsia="zh-CN"/>
        </w:rPr>
        <w:t>《GB 13078 饲料卫生标准》《GB 18596 畜禽养殖业污染物排放标准》《</w:t>
      </w:r>
      <w:r>
        <w:rPr>
          <w:rFonts w:hint="default" w:ascii="Times New Roman" w:hAnsi="Times New Roman" w:cs="Times New Roman" w:eastAsiaTheme="minorEastAsia"/>
          <w:i w:val="0"/>
          <w:iCs w:val="0"/>
          <w:caps w:val="0"/>
          <w:color w:val="auto"/>
          <w:spacing w:val="0"/>
          <w:sz w:val="24"/>
          <w:szCs w:val="24"/>
          <w:highlight w:val="none"/>
          <w:shd w:val="clear" w:fill="auto"/>
        </w:rPr>
        <w:t>GB/T 42550 农业废弃物资源化利用 农业生产资料包装废弃物处置和回收利用</w:t>
      </w:r>
      <w:r>
        <w:rPr>
          <w:rFonts w:hint="default" w:ascii="Times New Roman" w:hAnsi="Times New Roman" w:cs="Times New Roman" w:eastAsiaTheme="minorEastAsia"/>
          <w:color w:val="000000"/>
          <w:sz w:val="24"/>
          <w:szCs w:val="24"/>
          <w:highlight w:val="none"/>
          <w:lang w:val="en-US" w:eastAsia="zh-CN"/>
        </w:rPr>
        <w:t>》</w:t>
      </w:r>
      <w:r>
        <w:rPr>
          <w:rFonts w:hint="eastAsia" w:cs="Times New Roman" w:eastAsiaTheme="minorEastAsia"/>
          <w:color w:val="000000"/>
          <w:sz w:val="24"/>
          <w:szCs w:val="24"/>
          <w:highlight w:val="none"/>
          <w:lang w:val="en-US" w:eastAsia="zh-CN"/>
        </w:rPr>
        <w:t>《</w:t>
      </w:r>
      <w:r>
        <w:rPr>
          <w:rFonts w:hint="eastAsia" w:eastAsiaTheme="minorEastAsia"/>
          <w:color w:val="000000"/>
          <w:sz w:val="24"/>
          <w:highlight w:val="none"/>
        </w:rPr>
        <w:t>NY/T 682  畜禽场场区设计技术规范</w:t>
      </w:r>
      <w:r>
        <w:rPr>
          <w:rFonts w:hint="eastAsia" w:cs="Times New Roman" w:eastAsiaTheme="minorEastAsia"/>
          <w:color w:val="000000"/>
          <w:sz w:val="24"/>
          <w:szCs w:val="24"/>
          <w:highlight w:val="none"/>
          <w:lang w:val="en-US" w:eastAsia="zh-CN"/>
        </w:rPr>
        <w:t>》</w:t>
      </w:r>
      <w:r>
        <w:rPr>
          <w:rFonts w:hint="default" w:ascii="Times New Roman" w:hAnsi="Times New Roman" w:cs="Times New Roman" w:eastAsiaTheme="minorEastAsia"/>
          <w:color w:val="000000"/>
          <w:sz w:val="24"/>
          <w:szCs w:val="24"/>
          <w:highlight w:val="none"/>
          <w:lang w:val="en-US" w:eastAsia="zh-CN"/>
        </w:rPr>
        <w:t>《NY/T 1755 畜禽舍通风系统技术规程》《NY/T 2122 肉鸭饲养标准》《NY/T 2843 动物及动物产品运输兽医卫生规范》</w:t>
      </w:r>
      <w:r>
        <w:rPr>
          <w:rFonts w:hint="eastAsia" w:ascii="Times New Roman" w:hAnsi="Times New Roman" w:cs="Times New Roman" w:eastAsiaTheme="minorEastAsia"/>
          <w:color w:val="000000"/>
          <w:sz w:val="24"/>
          <w:szCs w:val="24"/>
          <w:highlight w:val="none"/>
          <w:lang w:val="en-US" w:eastAsia="zh-CN"/>
        </w:rPr>
        <w:t>《</w:t>
      </w:r>
      <w:r>
        <w:rPr>
          <w:rFonts w:hint="default" w:ascii="Times New Roman" w:hAnsi="Times New Roman" w:cs="Times New Roman" w:eastAsiaTheme="minorEastAsia"/>
          <w:color w:val="000000"/>
          <w:sz w:val="24"/>
          <w:szCs w:val="24"/>
          <w:highlight w:val="none"/>
          <w:lang w:val="en-US" w:eastAsia="zh-CN"/>
        </w:rPr>
        <w:t>NY/T 3075 畜禽养殖场消毒技术</w:t>
      </w:r>
      <w:r>
        <w:rPr>
          <w:rFonts w:hint="eastAsia" w:ascii="Times New Roman" w:hAnsi="Times New Roman" w:cs="Times New Roman" w:eastAsiaTheme="minorEastAsia"/>
          <w:color w:val="000000"/>
          <w:sz w:val="24"/>
          <w:szCs w:val="24"/>
          <w:highlight w:val="none"/>
          <w:lang w:val="en-US" w:eastAsia="zh-CN"/>
        </w:rPr>
        <w:t>》《NY/T 3445 畜禽养殖场档案规范》</w:t>
      </w:r>
      <w:r>
        <w:rPr>
          <w:rFonts w:hint="default" w:ascii="Times New Roman" w:hAnsi="Times New Roman" w:cs="Times New Roman" w:eastAsiaTheme="minorEastAsia"/>
          <w:color w:val="000000"/>
          <w:sz w:val="24"/>
          <w:szCs w:val="24"/>
          <w:highlight w:val="none"/>
          <w:lang w:val="en-US" w:eastAsia="zh-CN"/>
        </w:rPr>
        <w:t>。</w:t>
      </w:r>
    </w:p>
    <w:p w14:paraId="70AE8508">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b/>
          <w:bCs/>
          <w:color w:val="000000"/>
          <w:sz w:val="24"/>
          <w:szCs w:val="24"/>
          <w:highlight w:val="none"/>
          <w:lang w:val="en-US" w:eastAsia="zh-CN"/>
        </w:rPr>
      </w:pPr>
      <w:r>
        <w:rPr>
          <w:rFonts w:hint="default" w:ascii="Times New Roman" w:hAnsi="Times New Roman" w:cs="Times New Roman" w:eastAsiaTheme="minorEastAsia"/>
          <w:b/>
          <w:bCs/>
          <w:color w:val="000000"/>
          <w:sz w:val="24"/>
          <w:szCs w:val="24"/>
          <w:highlight w:val="none"/>
          <w:lang w:val="en-US" w:eastAsia="zh-CN"/>
        </w:rPr>
        <w:t>3.术语和定义</w:t>
      </w:r>
    </w:p>
    <w:p w14:paraId="7436A268">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color w:val="000000"/>
          <w:sz w:val="24"/>
          <w:szCs w:val="24"/>
          <w:highlight w:val="none"/>
          <w:lang w:val="en-US" w:eastAsia="zh-CN"/>
        </w:rPr>
      </w:pPr>
      <w:r>
        <w:rPr>
          <w:rFonts w:hint="eastAsia" w:cs="Times New Roman" w:eastAsiaTheme="minorEastAsia"/>
          <w:color w:val="000000"/>
          <w:sz w:val="24"/>
          <w:szCs w:val="24"/>
          <w:highlight w:val="none"/>
          <w:lang w:val="en-US" w:eastAsia="zh-CN"/>
        </w:rPr>
        <w:t>关于层叠式笼养的定义目前仍然没有相关的国家标准或行业标准，鉴于此，本文件</w:t>
      </w:r>
      <w:r>
        <w:rPr>
          <w:rFonts w:hint="default" w:ascii="Times New Roman" w:hAnsi="Times New Roman" w:cs="Times New Roman" w:eastAsiaTheme="minorEastAsia"/>
          <w:color w:val="000000"/>
          <w:sz w:val="24"/>
          <w:szCs w:val="24"/>
          <w:highlight w:val="none"/>
          <w:lang w:val="en-US" w:eastAsia="zh-CN"/>
        </w:rPr>
        <w:t>参考了《DB3201/T 1026-2020 肉鸽层叠式笼养技术规程》《DB3201/T 1024-2020 产蛋鸡层叠式笼养管理技术规程》等对层叠式笼养的定义，</w:t>
      </w:r>
      <w:r>
        <w:rPr>
          <w:rFonts w:hint="eastAsia" w:cs="Times New Roman" w:eastAsiaTheme="minorEastAsia"/>
          <w:color w:val="000000"/>
          <w:sz w:val="24"/>
          <w:szCs w:val="24"/>
          <w:highlight w:val="none"/>
          <w:lang w:val="en-US" w:eastAsia="zh-CN"/>
        </w:rPr>
        <w:t>其中</w:t>
      </w:r>
      <w:r>
        <w:rPr>
          <w:rFonts w:hint="eastAsia" w:eastAsiaTheme="minorEastAsia"/>
          <w:color w:val="000000"/>
          <w:sz w:val="24"/>
          <w:highlight w:val="none"/>
        </w:rPr>
        <w:t>肉鸽层叠式笼养模式</w:t>
      </w:r>
      <w:r>
        <w:rPr>
          <w:rFonts w:hint="eastAsia" w:eastAsiaTheme="minorEastAsia"/>
          <w:color w:val="000000"/>
          <w:sz w:val="24"/>
          <w:highlight w:val="none"/>
          <w:lang w:eastAsia="zh-CN"/>
        </w:rPr>
        <w:t>的</w:t>
      </w:r>
      <w:r>
        <w:rPr>
          <w:rFonts w:hint="eastAsia" w:eastAsiaTheme="minorEastAsia"/>
          <w:color w:val="000000"/>
          <w:sz w:val="24"/>
          <w:highlight w:val="none"/>
          <w:lang w:val="en-US" w:eastAsia="zh-CN"/>
        </w:rPr>
        <w:t>定义为“</w:t>
      </w:r>
      <w:r>
        <w:rPr>
          <w:rFonts w:hint="eastAsia" w:eastAsiaTheme="minorEastAsia"/>
          <w:color w:val="000000"/>
          <w:sz w:val="24"/>
          <w:highlight w:val="none"/>
        </w:rPr>
        <w:t>由三层至四层垂直叠加的鸽笼组成一列层叠式养鸽笼，配套自动饮水、饲喂、清粪等装置，鸽笼长度可根据鸽舍大小调节，是一种适用于规模化生产的现代肉鸽养殖模式。</w:t>
      </w:r>
      <w:r>
        <w:rPr>
          <w:rFonts w:hint="eastAsia" w:eastAsiaTheme="minorEastAsia"/>
          <w:color w:val="000000"/>
          <w:sz w:val="24"/>
          <w:highlight w:val="none"/>
          <w:lang w:val="en-US" w:eastAsia="zh-CN"/>
        </w:rPr>
        <w:t>”，</w:t>
      </w:r>
      <w:r>
        <w:rPr>
          <w:rFonts w:hint="default" w:ascii="Times New Roman" w:hAnsi="Times New Roman" w:cs="Times New Roman" w:eastAsiaTheme="minorEastAsia"/>
          <w:color w:val="000000"/>
          <w:sz w:val="24"/>
          <w:szCs w:val="24"/>
          <w:highlight w:val="none"/>
          <w:lang w:val="en-US" w:eastAsia="zh-CN"/>
        </w:rPr>
        <w:t>产蛋鸡层叠式笼养</w:t>
      </w:r>
      <w:r>
        <w:rPr>
          <w:rFonts w:hint="eastAsia" w:cs="Times New Roman" w:eastAsiaTheme="minorEastAsia"/>
          <w:color w:val="000000"/>
          <w:sz w:val="24"/>
          <w:szCs w:val="24"/>
          <w:highlight w:val="none"/>
          <w:lang w:val="en-US" w:eastAsia="zh-CN"/>
        </w:rPr>
        <w:t>的定义为“</w:t>
      </w:r>
      <w:r>
        <w:rPr>
          <w:rFonts w:hint="eastAsia" w:eastAsiaTheme="minorEastAsia"/>
          <w:color w:val="000000"/>
          <w:sz w:val="24"/>
          <w:highlight w:val="none"/>
        </w:rPr>
        <w:t>立体层叠式笼架配套智能环境控制、自动喂料给水，输送集蛋，履带清粪等，形成的饲养管理模式。</w:t>
      </w:r>
      <w:r>
        <w:rPr>
          <w:rFonts w:hint="eastAsia" w:cs="Times New Roman" w:eastAsiaTheme="minorEastAsia"/>
          <w:color w:val="000000"/>
          <w:sz w:val="24"/>
          <w:szCs w:val="24"/>
          <w:highlight w:val="none"/>
          <w:lang w:val="en-US" w:eastAsia="zh-CN"/>
        </w:rPr>
        <w:t>”，考虑到定义需要</w:t>
      </w:r>
      <w:r>
        <w:rPr>
          <w:rFonts w:hint="default" w:ascii="Times New Roman" w:hAnsi="Times New Roman" w:cs="Times New Roman" w:eastAsiaTheme="minorEastAsia"/>
          <w:color w:val="000000"/>
          <w:sz w:val="24"/>
          <w:szCs w:val="24"/>
          <w:highlight w:val="none"/>
          <w:lang w:val="en-US" w:eastAsia="zh-CN"/>
        </w:rPr>
        <w:t>重点凸显肉鸭层叠式笼养的特征，</w:t>
      </w:r>
      <w:r>
        <w:rPr>
          <w:rFonts w:hint="eastAsia" w:cs="Times New Roman" w:eastAsiaTheme="minorEastAsia"/>
          <w:color w:val="000000"/>
          <w:sz w:val="24"/>
          <w:szCs w:val="24"/>
          <w:highlight w:val="none"/>
          <w:lang w:val="en-US" w:eastAsia="zh-CN"/>
        </w:rPr>
        <w:t>包括</w:t>
      </w:r>
      <w:r>
        <w:rPr>
          <w:rFonts w:hint="default" w:ascii="Times New Roman" w:hAnsi="Times New Roman" w:cs="Times New Roman" w:eastAsiaTheme="minorEastAsia"/>
          <w:color w:val="000000"/>
          <w:sz w:val="24"/>
          <w:szCs w:val="24"/>
          <w:highlight w:val="none"/>
          <w:lang w:val="en-US" w:eastAsia="zh-CN"/>
        </w:rPr>
        <w:t>采用多层垂直堆叠笼具、自动化饲养设备、智能化环境控制系统</w:t>
      </w:r>
      <w:r>
        <w:rPr>
          <w:rFonts w:hint="eastAsia" w:cs="Times New Roman" w:eastAsiaTheme="minorEastAsia"/>
          <w:color w:val="000000"/>
          <w:sz w:val="24"/>
          <w:szCs w:val="24"/>
          <w:highlight w:val="none"/>
          <w:lang w:val="en-US" w:eastAsia="zh-CN"/>
        </w:rPr>
        <w:t>等，因此，</w:t>
      </w:r>
      <w:r>
        <w:rPr>
          <w:rFonts w:hint="default" w:ascii="Times New Roman" w:hAnsi="Times New Roman" w:cs="Times New Roman" w:eastAsiaTheme="minorEastAsia"/>
          <w:color w:val="000000"/>
          <w:sz w:val="24"/>
          <w:szCs w:val="24"/>
          <w:highlight w:val="none"/>
          <w:lang w:val="en-US" w:eastAsia="zh-CN"/>
        </w:rPr>
        <w:t>最终</w:t>
      </w:r>
      <w:r>
        <w:rPr>
          <w:rFonts w:hint="eastAsia" w:cs="Times New Roman" w:eastAsiaTheme="minorEastAsia"/>
          <w:color w:val="000000"/>
          <w:sz w:val="24"/>
          <w:szCs w:val="24"/>
          <w:highlight w:val="none"/>
          <w:lang w:val="en-US" w:eastAsia="zh-CN"/>
        </w:rPr>
        <w:t>将“肉鸭层叠式笼养”</w:t>
      </w:r>
      <w:r>
        <w:rPr>
          <w:rFonts w:hint="default" w:ascii="Times New Roman" w:hAnsi="Times New Roman" w:cs="Times New Roman" w:eastAsiaTheme="minorEastAsia"/>
          <w:color w:val="000000"/>
          <w:sz w:val="24"/>
          <w:szCs w:val="24"/>
          <w:highlight w:val="none"/>
          <w:lang w:val="en-US" w:eastAsia="zh-CN"/>
        </w:rPr>
        <w:t>定义为：采用多层垂直堆叠笼具，并配备自动化饲养设备、智能环境控制系统的肉鸭饲养模式。</w:t>
      </w:r>
    </w:p>
    <w:p w14:paraId="6C0FB7EB">
      <w:pPr>
        <w:pStyle w:val="18"/>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default" w:cs="Times New Roman" w:eastAsiaTheme="minorEastAsia"/>
          <w:color w:val="000000"/>
          <w:sz w:val="24"/>
          <w:szCs w:val="24"/>
          <w:highlight w:val="none"/>
          <w:lang w:val="en-US" w:eastAsia="zh-CN"/>
        </w:rPr>
      </w:pPr>
      <w:r>
        <w:rPr>
          <w:rFonts w:hint="eastAsia" w:cs="Times New Roman" w:eastAsiaTheme="minorEastAsia"/>
          <w:color w:val="000000"/>
          <w:sz w:val="24"/>
          <w:szCs w:val="24"/>
          <w:highlight w:val="none"/>
          <w:lang w:val="en-US" w:eastAsia="zh-CN"/>
        </w:rPr>
        <w:t>关于“层叠式”的英文翻译，经过查询相关文献，主要有以下两种翻译方式：</w:t>
      </w:r>
      <w:r>
        <w:rPr>
          <w:rFonts w:hint="eastAsia" w:eastAsiaTheme="minorEastAsia"/>
          <w:color w:val="000000"/>
          <w:sz w:val="24"/>
          <w:highlight w:val="none"/>
          <w:lang w:eastAsia="zh-CN"/>
        </w:rPr>
        <w:t>c</w:t>
      </w:r>
      <w:r>
        <w:rPr>
          <w:rFonts w:hint="eastAsia" w:eastAsiaTheme="minorEastAsia"/>
          <w:color w:val="000000"/>
          <w:sz w:val="24"/>
          <w:highlight w:val="none"/>
        </w:rPr>
        <w:t xml:space="preserve">ascading </w:t>
      </w:r>
      <w:r>
        <w:rPr>
          <w:rFonts w:hint="eastAsia" w:eastAsiaTheme="minorEastAsia"/>
          <w:color w:val="000000"/>
          <w:sz w:val="24"/>
          <w:highlight w:val="none"/>
          <w:lang w:eastAsia="zh-CN"/>
        </w:rPr>
        <w:t>c</w:t>
      </w:r>
      <w:r>
        <w:rPr>
          <w:rFonts w:hint="eastAsia" w:eastAsiaTheme="minorEastAsia"/>
          <w:color w:val="000000"/>
          <w:sz w:val="24"/>
          <w:highlight w:val="none"/>
        </w:rPr>
        <w:t>age</w:t>
      </w:r>
      <w:r>
        <w:rPr>
          <w:rFonts w:hint="eastAsia" w:ascii="宋体" w:hAnsi="宋体" w:cs="宋体"/>
          <w:b w:val="0"/>
          <w:bCs w:val="0"/>
          <w:i w:val="0"/>
          <w:iCs w:val="0"/>
          <w:color w:val="000000"/>
          <w:sz w:val="24"/>
          <w:szCs w:val="24"/>
          <w:highlight w:val="none"/>
          <w:vertAlign w:val="superscript"/>
          <w:lang w:val="en-US" w:eastAsia="zh-CN"/>
        </w:rPr>
        <w:t>[1,2]</w:t>
      </w:r>
      <w:r>
        <w:rPr>
          <w:rFonts w:hint="eastAsia" w:eastAsiaTheme="minorEastAsia"/>
          <w:color w:val="000000"/>
          <w:sz w:val="24"/>
          <w:highlight w:val="none"/>
          <w:lang w:val="en-US" w:eastAsia="zh-CN"/>
        </w:rPr>
        <w:t>和stacked cage</w:t>
      </w:r>
      <w:r>
        <w:rPr>
          <w:rFonts w:hint="eastAsia" w:ascii="宋体" w:hAnsi="宋体" w:cs="宋体"/>
          <w:b w:val="0"/>
          <w:bCs w:val="0"/>
          <w:i w:val="0"/>
          <w:iCs w:val="0"/>
          <w:color w:val="000000"/>
          <w:sz w:val="24"/>
          <w:szCs w:val="24"/>
          <w:highlight w:val="none"/>
          <w:vertAlign w:val="superscript"/>
          <w:lang w:val="en-US" w:eastAsia="zh-CN"/>
        </w:rPr>
        <w:t>[3,4]</w:t>
      </w:r>
      <w:r>
        <w:rPr>
          <w:rFonts w:hint="eastAsia" w:eastAsiaTheme="minorEastAsia"/>
          <w:color w:val="000000"/>
          <w:sz w:val="24"/>
          <w:highlight w:val="none"/>
          <w:lang w:val="en-US" w:eastAsia="zh-CN"/>
        </w:rPr>
        <w:t>，</w:t>
      </w:r>
      <w:r>
        <w:rPr>
          <w:rFonts w:hint="eastAsia" w:eastAsiaTheme="minorEastAsia"/>
          <w:color w:val="000000"/>
          <w:sz w:val="24"/>
          <w:highlight w:val="none"/>
        </w:rPr>
        <w:t>“</w:t>
      </w:r>
      <w:r>
        <w:rPr>
          <w:rFonts w:hint="eastAsia" w:eastAsiaTheme="minorEastAsia"/>
          <w:color w:val="000000"/>
          <w:sz w:val="24"/>
          <w:highlight w:val="none"/>
          <w:lang w:val="en-US" w:eastAsia="zh-CN"/>
        </w:rPr>
        <w:t>c</w:t>
      </w:r>
      <w:r>
        <w:rPr>
          <w:rFonts w:hint="eastAsia" w:eastAsiaTheme="minorEastAsia"/>
          <w:color w:val="000000"/>
          <w:sz w:val="24"/>
          <w:highlight w:val="none"/>
        </w:rPr>
        <w:t>ascading”和“stacked”都有层叠的意思，但“stacked”更直接地表达了笼养设备是上下堆叠的，而“cascading”则更多地被用来描述像瀑布一样连续下降或层叠的情境，可能不太符合这里的具体语境。</w:t>
      </w:r>
      <w:r>
        <w:rPr>
          <w:rFonts w:hint="eastAsia" w:eastAsiaTheme="minorEastAsia"/>
          <w:color w:val="000000"/>
          <w:sz w:val="24"/>
          <w:highlight w:val="none"/>
          <w:lang w:val="en-US" w:eastAsia="zh-CN"/>
        </w:rPr>
        <w:t>因此，本文件中选择stacked cage作为层叠式的表述；</w:t>
      </w:r>
      <w:r>
        <w:rPr>
          <w:rFonts w:hint="eastAsia" w:cs="Times New Roman" w:eastAsiaTheme="minorEastAsia"/>
          <w:color w:val="000000"/>
          <w:sz w:val="24"/>
          <w:szCs w:val="24"/>
          <w:highlight w:val="none"/>
          <w:lang w:val="en-US" w:eastAsia="zh-CN"/>
        </w:rPr>
        <w:t>关于“肉鸭”的英文翻译，参考《GB/T 29389-2012 肉鸭生产性能测定技术规范》《NY/T 2122-2012 肉鸭饲养标准》，将“肉鸭”翻译为meat-type duck。因此，最终将“肉鸭层叠式笼养”的英文翻译为“</w:t>
      </w:r>
      <w:r>
        <w:rPr>
          <w:rFonts w:hint="eastAsia" w:eastAsiaTheme="minorEastAsia"/>
          <w:color w:val="000000"/>
          <w:sz w:val="24"/>
          <w:highlight w:val="none"/>
          <w:lang w:val="en-US" w:eastAsia="zh-CN"/>
        </w:rPr>
        <w:t xml:space="preserve">stacked cage-raising </w:t>
      </w:r>
      <w:r>
        <w:rPr>
          <w:rFonts w:hint="eastAsia" w:cs="Times New Roman" w:eastAsiaTheme="minorEastAsia"/>
          <w:color w:val="000000"/>
          <w:sz w:val="24"/>
          <w:szCs w:val="24"/>
          <w:highlight w:val="none"/>
          <w:lang w:val="en-US" w:eastAsia="zh-CN"/>
        </w:rPr>
        <w:t>meat-type duck”。</w:t>
      </w:r>
    </w:p>
    <w:p w14:paraId="426F5D63">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b/>
          <w:bCs/>
          <w:color w:val="000000"/>
          <w:sz w:val="24"/>
          <w:szCs w:val="24"/>
          <w:highlight w:val="none"/>
          <w:lang w:val="en-US" w:eastAsia="zh-CN"/>
        </w:rPr>
      </w:pPr>
      <w:r>
        <w:rPr>
          <w:rFonts w:hint="default" w:ascii="Times New Roman" w:hAnsi="Times New Roman" w:cs="Times New Roman" w:eastAsiaTheme="minorEastAsia"/>
          <w:b/>
          <w:bCs/>
          <w:color w:val="000000"/>
          <w:sz w:val="24"/>
          <w:szCs w:val="24"/>
          <w:highlight w:val="none"/>
          <w:lang w:val="en-US" w:eastAsia="zh-CN"/>
        </w:rPr>
        <w:t>4.</w:t>
      </w:r>
      <w:r>
        <w:rPr>
          <w:rFonts w:hint="eastAsia" w:cs="Times New Roman" w:eastAsiaTheme="minorEastAsia"/>
          <w:b/>
          <w:bCs/>
          <w:color w:val="000000"/>
          <w:sz w:val="24"/>
          <w:szCs w:val="24"/>
          <w:highlight w:val="none"/>
          <w:lang w:val="en-US" w:eastAsia="zh-CN"/>
        </w:rPr>
        <w:t>选址与布局</w:t>
      </w:r>
    </w:p>
    <w:p w14:paraId="15B4108E">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ascii="Times New Roman" w:hAnsi="Times New Roman" w:cs="Times New Roman" w:eastAsiaTheme="minorEastAsia"/>
          <w:color w:val="000000"/>
          <w:sz w:val="24"/>
          <w:szCs w:val="24"/>
          <w:highlight w:val="none"/>
          <w:lang w:val="en-US" w:eastAsia="zh-CN"/>
        </w:rPr>
      </w:pPr>
      <w:r>
        <w:rPr>
          <w:rFonts w:hint="default" w:ascii="Times New Roman" w:hAnsi="Times New Roman" w:cs="Times New Roman" w:eastAsiaTheme="minorEastAsia"/>
          <w:color w:val="000000"/>
          <w:sz w:val="24"/>
          <w:szCs w:val="24"/>
          <w:highlight w:val="none"/>
          <w:lang w:val="en-US" w:eastAsia="zh-CN"/>
        </w:rPr>
        <w:t>科学</w:t>
      </w:r>
      <w:r>
        <w:rPr>
          <w:rFonts w:hint="eastAsia" w:cs="Times New Roman" w:eastAsiaTheme="minorEastAsia"/>
          <w:color w:val="000000"/>
          <w:sz w:val="24"/>
          <w:szCs w:val="24"/>
          <w:highlight w:val="none"/>
          <w:lang w:val="en-US" w:eastAsia="zh-CN"/>
        </w:rPr>
        <w:t>地</w:t>
      </w:r>
      <w:r>
        <w:rPr>
          <w:rFonts w:hint="default" w:ascii="Times New Roman" w:hAnsi="Times New Roman" w:cs="Times New Roman" w:eastAsiaTheme="minorEastAsia"/>
          <w:color w:val="000000"/>
          <w:sz w:val="24"/>
          <w:szCs w:val="24"/>
          <w:highlight w:val="none"/>
          <w:lang w:val="en-US" w:eastAsia="zh-CN"/>
        </w:rPr>
        <w:t>选址和布局可以减少</w:t>
      </w:r>
      <w:r>
        <w:rPr>
          <w:rFonts w:hint="eastAsia" w:cs="Times New Roman" w:eastAsiaTheme="minorEastAsia"/>
          <w:color w:val="000000"/>
          <w:sz w:val="24"/>
          <w:szCs w:val="24"/>
          <w:highlight w:val="none"/>
          <w:lang w:val="en-US" w:eastAsia="zh-CN"/>
        </w:rPr>
        <w:t>疫病</w:t>
      </w:r>
      <w:r>
        <w:rPr>
          <w:rFonts w:hint="default" w:ascii="Times New Roman" w:hAnsi="Times New Roman" w:cs="Times New Roman" w:eastAsiaTheme="minorEastAsia"/>
          <w:color w:val="000000"/>
          <w:sz w:val="24"/>
          <w:szCs w:val="24"/>
          <w:highlight w:val="none"/>
          <w:lang w:val="en-US" w:eastAsia="zh-CN"/>
        </w:rPr>
        <w:t>的发生和传播，降低养殖风险</w:t>
      </w:r>
      <w:r>
        <w:rPr>
          <w:rFonts w:hint="eastAsia" w:cs="Times New Roman" w:eastAsiaTheme="minorEastAsia"/>
          <w:color w:val="000000"/>
          <w:sz w:val="24"/>
          <w:szCs w:val="24"/>
          <w:highlight w:val="none"/>
          <w:lang w:val="en-US" w:eastAsia="zh-CN"/>
        </w:rPr>
        <w:t>，提高生产效益。鉴于2023年实施的《</w:t>
      </w:r>
      <w:r>
        <w:rPr>
          <w:rFonts w:hint="eastAsia" w:eastAsiaTheme="minorEastAsia"/>
          <w:color w:val="000000"/>
          <w:sz w:val="24"/>
          <w:highlight w:val="none"/>
        </w:rPr>
        <w:t>NY/T 682  畜禽场场区设计技术规范</w:t>
      </w:r>
      <w:r>
        <w:rPr>
          <w:rFonts w:hint="eastAsia" w:cs="Times New Roman" w:eastAsiaTheme="minorEastAsia"/>
          <w:color w:val="000000"/>
          <w:sz w:val="24"/>
          <w:szCs w:val="24"/>
          <w:highlight w:val="none"/>
          <w:lang w:val="en-US" w:eastAsia="zh-CN"/>
        </w:rPr>
        <w:t>》已对畜禽场设计提供了技术规范要求，本文件规定选址与布局按照该标准执行</w:t>
      </w:r>
      <w:r>
        <w:rPr>
          <w:rFonts w:hint="eastAsia" w:ascii="Times New Roman" w:hAnsi="Times New Roman" w:cs="Times New Roman" w:eastAsiaTheme="minorEastAsia"/>
          <w:color w:val="000000"/>
          <w:sz w:val="24"/>
          <w:szCs w:val="24"/>
          <w:highlight w:val="none"/>
          <w:lang w:val="en-US" w:eastAsia="zh-CN"/>
        </w:rPr>
        <w:t>。</w:t>
      </w:r>
    </w:p>
    <w:p w14:paraId="35703D9D">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sz w:val="24"/>
          <w:szCs w:val="24"/>
          <w:highlight w:val="none"/>
          <w:lang w:val="en-US" w:eastAsia="zh-CN"/>
        </w:rPr>
      </w:pPr>
      <w:r>
        <w:rPr>
          <w:rFonts w:hint="eastAsia" w:ascii="Times New Roman" w:hAnsi="Times New Roman" w:cs="Times New Roman" w:eastAsiaTheme="minorEastAsia"/>
          <w:b/>
          <w:bCs/>
          <w:color w:val="000000"/>
          <w:sz w:val="24"/>
          <w:szCs w:val="24"/>
          <w:highlight w:val="none"/>
          <w:lang w:val="en-US" w:eastAsia="zh-CN"/>
        </w:rPr>
        <w:t>5</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设施设备</w:t>
      </w:r>
    </w:p>
    <w:p w14:paraId="63BBE6FA">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5.1鸭舍建筑</w:t>
      </w:r>
    </w:p>
    <w:p w14:paraId="7C0C4DF6">
      <w:pPr>
        <w:pStyle w:val="22"/>
        <w:keepNext w:val="0"/>
        <w:keepLines w:val="0"/>
        <w:pageBreakBefore w:val="0"/>
        <w:kinsoku/>
        <w:wordWrap/>
        <w:overflowPunct/>
        <w:topLinePunct w:val="0"/>
        <w:bidi w:val="0"/>
        <w:adjustRightInd/>
        <w:snapToGrid/>
        <w:spacing w:line="360" w:lineRule="auto"/>
        <w:ind w:left="0" w:leftChars="0" w:firstLine="480" w:firstLineChars="200"/>
        <w:jc w:val="both"/>
        <w:textAlignment w:val="auto"/>
        <w:rPr>
          <w:rFonts w:hint="default" w:ascii="Times New Roman" w:hAnsi="Times New Roman" w:cs="Times New Roman" w:eastAsiaTheme="minorEastAsia"/>
          <w:b w:val="0"/>
          <w:bCs w:val="0"/>
          <w:color w:val="000000"/>
          <w:kern w:val="2"/>
          <w:sz w:val="24"/>
          <w:szCs w:val="24"/>
          <w:highlight w:val="none"/>
          <w:lang w:eastAsia="zh-CN"/>
        </w:rPr>
      </w:pPr>
      <w:r>
        <w:rPr>
          <w:rFonts w:hint="eastAsia" w:ascii="Times New Roman" w:cs="Times New Roman" w:eastAsiaTheme="minorEastAsia"/>
          <w:b w:val="0"/>
          <w:bCs w:val="0"/>
          <w:color w:val="000000"/>
          <w:kern w:val="2"/>
          <w:sz w:val="24"/>
          <w:szCs w:val="24"/>
          <w:highlight w:val="none"/>
          <w:lang w:val="en-US" w:eastAsia="zh-CN"/>
        </w:rPr>
        <w:t>关于</w:t>
      </w:r>
      <w:r>
        <w:rPr>
          <w:rFonts w:hint="eastAsia" w:ascii="Times New Roman" w:eastAsiaTheme="minorEastAsia"/>
          <w:color w:val="000000"/>
          <w:kern w:val="2"/>
          <w:sz w:val="24"/>
          <w:szCs w:val="24"/>
          <w:highlight w:val="none"/>
        </w:rPr>
        <w:t>鸭舍</w:t>
      </w:r>
      <w:r>
        <w:rPr>
          <w:rFonts w:hint="eastAsia" w:ascii="Times New Roman" w:eastAsiaTheme="minorEastAsia"/>
          <w:color w:val="000000"/>
          <w:kern w:val="2"/>
          <w:sz w:val="24"/>
          <w:szCs w:val="24"/>
          <w:highlight w:val="none"/>
          <w:lang w:val="en-US" w:eastAsia="zh-CN"/>
        </w:rPr>
        <w:t>类型</w:t>
      </w:r>
      <w:r>
        <w:rPr>
          <w:rFonts w:hint="eastAsia" w:ascii="Times New Roman" w:eastAsiaTheme="minorEastAsia"/>
          <w:color w:val="000000"/>
          <w:kern w:val="2"/>
          <w:sz w:val="24"/>
          <w:szCs w:val="24"/>
          <w:highlight w:val="none"/>
        </w:rPr>
        <w:t>，</w:t>
      </w:r>
      <w:r>
        <w:rPr>
          <w:rFonts w:hint="eastAsia" w:ascii="Times New Roman" w:eastAsiaTheme="minorEastAsia"/>
          <w:color w:val="000000"/>
          <w:kern w:val="2"/>
          <w:sz w:val="24"/>
          <w:szCs w:val="24"/>
          <w:highlight w:val="none"/>
          <w:lang w:val="en-US" w:eastAsia="zh-CN"/>
        </w:rPr>
        <w:t>由于需要协调适应“采用多层垂直堆叠笼具，并配备自动化饲养设备、</w:t>
      </w:r>
      <w:r>
        <w:rPr>
          <w:rFonts w:hint="default" w:ascii="Times New Roman" w:hAnsi="Times New Roman" w:cs="Times New Roman" w:eastAsiaTheme="minorEastAsia"/>
          <w:color w:val="000000"/>
          <w:kern w:val="2"/>
          <w:sz w:val="24"/>
          <w:szCs w:val="24"/>
          <w:highlight w:val="none"/>
          <w:lang w:val="en-US" w:eastAsia="zh-CN"/>
        </w:rPr>
        <w:t>智能环境控制系统的肉鸭饲养模式”，因此层叠式笼养应采用能够有效调控养殖环境的温度、湿度、光照及通风条件的鸭舍</w:t>
      </w:r>
      <w:r>
        <w:rPr>
          <w:rFonts w:hint="eastAsia" w:ascii="Times New Roman" w:cs="Times New Roman" w:eastAsiaTheme="minorEastAsia"/>
          <w:color w:val="000000"/>
          <w:kern w:val="2"/>
          <w:sz w:val="24"/>
          <w:szCs w:val="24"/>
          <w:highlight w:val="none"/>
          <w:lang w:val="en-US" w:eastAsia="zh-CN"/>
        </w:rPr>
        <w:t>建筑</w:t>
      </w:r>
      <w:r>
        <w:rPr>
          <w:rFonts w:hint="default" w:ascii="Times New Roman" w:hAnsi="Times New Roman" w:cs="Times New Roman" w:eastAsiaTheme="minorEastAsia"/>
          <w:color w:val="000000"/>
          <w:kern w:val="2"/>
          <w:sz w:val="24"/>
          <w:szCs w:val="24"/>
          <w:highlight w:val="none"/>
          <w:lang w:val="en-US" w:eastAsia="zh-CN"/>
        </w:rPr>
        <w:t>类型。</w:t>
      </w:r>
    </w:p>
    <w:p w14:paraId="233674F2">
      <w:pPr>
        <w:pStyle w:val="2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rPr>
          <w:rFonts w:hint="default" w:ascii="Times New Roman" w:hAnsi="Times New Roman" w:cs="Times New Roman"/>
          <w:color w:val="000000"/>
          <w:sz w:val="24"/>
          <w:szCs w:val="24"/>
          <w:highlight w:val="none"/>
          <w:lang w:val="en-US" w:eastAsia="zh-CN"/>
        </w:rPr>
      </w:pPr>
      <w:r>
        <w:rPr>
          <w:rFonts w:hint="default" w:ascii="Times New Roman" w:hAnsi="Times New Roman" w:cs="Times New Roman" w:eastAsiaTheme="minorEastAsia"/>
          <w:color w:val="000000"/>
          <w:kern w:val="2"/>
          <w:sz w:val="24"/>
          <w:szCs w:val="24"/>
          <w:highlight w:val="none"/>
          <w:lang w:val="en-US" w:eastAsia="zh-CN"/>
        </w:rPr>
        <w:t>关于鸭舍的布局一般为图1所示：（1）</w:t>
      </w:r>
      <w:r>
        <w:rPr>
          <w:rFonts w:hint="default" w:ascii="Times New Roman" w:hAnsi="Times New Roman" w:cs="Times New Roman"/>
          <w:sz w:val="24"/>
          <w:szCs w:val="24"/>
          <w:highlight w:val="none"/>
          <w:lang w:val="en-US" w:eastAsia="zh-CN"/>
        </w:rPr>
        <w:t>鸭舍出入口宜位于鸭舍长轴两端，</w:t>
      </w:r>
      <w:r>
        <w:rPr>
          <w:rFonts w:hint="default" w:ascii="Times New Roman" w:hAnsi="Times New Roman" w:cs="Times New Roman"/>
          <w:sz w:val="24"/>
          <w:szCs w:val="24"/>
          <w:highlight w:val="none"/>
        </w:rPr>
        <w:t>以最大限度地利用自然风，提高鸭舍内的空气流通性，减少有害气体和湿度的积聚</w:t>
      </w:r>
      <w:r>
        <w:rPr>
          <w:rFonts w:hint="default" w:ascii="Times New Roman" w:hAnsi="Times New Roman" w:cs="Times New Roman"/>
          <w:sz w:val="24"/>
          <w:szCs w:val="24"/>
          <w:highlight w:val="none"/>
          <w:lang w:val="en-US" w:eastAsia="zh-CN"/>
        </w:rPr>
        <w:t>；（2）鸭舍</w:t>
      </w:r>
      <w:r>
        <w:rPr>
          <w:rFonts w:hint="default" w:ascii="Times New Roman" w:hAnsi="Times New Roman" w:cs="Times New Roman"/>
          <w:color w:val="000000"/>
          <w:sz w:val="24"/>
          <w:szCs w:val="24"/>
          <w:highlight w:val="none"/>
        </w:rPr>
        <w:t>长度以80 m～90 m为宜，不宜超过100</w:t>
      </w:r>
      <w:r>
        <w:rPr>
          <w:rFonts w:hint="default" w:ascii="Times New Roman" w:hAnsi="Times New Roman" w:cs="Times New Roman"/>
          <w:color w:val="000000"/>
          <w:sz w:val="24"/>
          <w:szCs w:val="24"/>
          <w:highlight w:val="none"/>
          <w:lang w:val="en-US" w:eastAsia="zh-CN"/>
        </w:rPr>
        <w:t xml:space="preserve"> m，该参数主要考虑通风效果，鸭舍长度过长，会导致舍内风速过小，进而导致二氧化碳等气体浓度过高，如图2所示，长度为80 m的鸭舍</w:t>
      </w:r>
      <w:r>
        <w:rPr>
          <w:rFonts w:hint="eastAsia" w:ascii="Times New Roman" w:hAnsi="Times New Roman" w:cs="Times New Roman"/>
          <w:color w:val="000000"/>
          <w:sz w:val="24"/>
          <w:szCs w:val="24"/>
          <w:highlight w:val="none"/>
          <w:lang w:val="en-US" w:eastAsia="zh-CN"/>
        </w:rPr>
        <w:t>（5列）</w:t>
      </w:r>
      <w:r>
        <w:rPr>
          <w:rFonts w:hint="default" w:ascii="Times New Roman" w:hAnsi="Times New Roman" w:cs="Times New Roman"/>
          <w:color w:val="000000"/>
          <w:sz w:val="24"/>
          <w:szCs w:val="24"/>
          <w:highlight w:val="none"/>
          <w:lang w:val="en-US" w:eastAsia="zh-CN"/>
        </w:rPr>
        <w:t>通风风速为0.21 m/s</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0.63 m/s，CO</w:t>
      </w:r>
      <w:r>
        <w:rPr>
          <w:rFonts w:hint="default" w:ascii="Times New Roman" w:hAnsi="Times New Roman" w:cs="Times New Roman"/>
          <w:color w:val="000000"/>
          <w:sz w:val="24"/>
          <w:szCs w:val="24"/>
          <w:highlight w:val="none"/>
          <w:vertAlign w:val="subscript"/>
          <w:lang w:val="en-US" w:eastAsia="zh-CN"/>
        </w:rPr>
        <w:t>2</w:t>
      </w:r>
      <w:r>
        <w:rPr>
          <w:rFonts w:hint="default" w:ascii="Times New Roman" w:hAnsi="Times New Roman" w:cs="Times New Roman"/>
          <w:color w:val="000000"/>
          <w:sz w:val="24"/>
          <w:szCs w:val="24"/>
          <w:highlight w:val="none"/>
          <w:vertAlign w:val="baseline"/>
          <w:lang w:val="en-US" w:eastAsia="zh-CN"/>
        </w:rPr>
        <w:t>质量</w:t>
      </w:r>
      <w:r>
        <w:rPr>
          <w:rFonts w:hint="default" w:ascii="Times New Roman" w:hAnsi="Times New Roman" w:cs="Times New Roman"/>
          <w:color w:val="000000"/>
          <w:sz w:val="24"/>
          <w:szCs w:val="24"/>
          <w:highlight w:val="none"/>
          <w:lang w:val="en-US" w:eastAsia="zh-CN"/>
        </w:rPr>
        <w:t xml:space="preserve">浓度为2039 </w:t>
      </w:r>
      <w:r>
        <w:rPr>
          <w:rFonts w:hint="default" w:ascii="Times New Roman" w:hAnsi="Times New Roman" w:cs="Times New Roman"/>
          <w:color w:val="000000"/>
          <w:sz w:val="24"/>
          <w:szCs w:val="24"/>
          <w:highlight w:val="none"/>
        </w:rPr>
        <w:t>mg/m</w:t>
      </w:r>
      <w:r>
        <w:rPr>
          <w:rFonts w:hint="default" w:ascii="Times New Roman" w:hAnsi="Times New Roman" w:cs="Times New Roman"/>
          <w:color w:val="000000"/>
          <w:sz w:val="24"/>
          <w:szCs w:val="24"/>
          <w:highlight w:val="none"/>
          <w:vertAlign w:val="superscript"/>
        </w:rPr>
        <w:t>3</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4527 mg/m</w:t>
      </w:r>
      <w:r>
        <w:rPr>
          <w:rFonts w:hint="default" w:ascii="Times New Roman" w:hAnsi="Times New Roman" w:cs="Times New Roman"/>
          <w:color w:val="000000"/>
          <w:sz w:val="24"/>
          <w:szCs w:val="24"/>
          <w:highlight w:val="none"/>
          <w:vertAlign w:val="superscript"/>
          <w:lang w:val="en-US" w:eastAsia="zh-CN"/>
        </w:rPr>
        <w:t>3</w:t>
      </w:r>
      <w:r>
        <w:rPr>
          <w:rFonts w:hint="default" w:ascii="Times New Roman" w:hAnsi="Times New Roman" w:cs="Times New Roman"/>
          <w:color w:val="000000"/>
          <w:sz w:val="24"/>
          <w:szCs w:val="24"/>
          <w:highlight w:val="none"/>
          <w:lang w:val="en-US" w:eastAsia="zh-CN"/>
        </w:rPr>
        <w:t>，长度为92 m的鸭舍</w:t>
      </w:r>
      <w:r>
        <w:rPr>
          <w:rFonts w:hint="eastAsia" w:ascii="Times New Roman" w:hAnsi="Times New Roman" w:cs="Times New Roman"/>
          <w:color w:val="000000"/>
          <w:sz w:val="24"/>
          <w:szCs w:val="24"/>
          <w:highlight w:val="none"/>
          <w:lang w:val="en-US" w:eastAsia="zh-CN"/>
        </w:rPr>
        <w:t>（6列）</w:t>
      </w:r>
      <w:r>
        <w:rPr>
          <w:rFonts w:hint="default" w:ascii="Times New Roman" w:hAnsi="Times New Roman" w:cs="Times New Roman"/>
          <w:color w:val="000000"/>
          <w:sz w:val="24"/>
          <w:szCs w:val="24"/>
          <w:highlight w:val="none"/>
          <w:lang w:val="en-US" w:eastAsia="zh-CN"/>
        </w:rPr>
        <w:t>通风风速为0.10 m/s</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0.32 m/s，CO</w:t>
      </w:r>
      <w:r>
        <w:rPr>
          <w:rFonts w:hint="default" w:ascii="Times New Roman" w:hAnsi="Times New Roman" w:cs="Times New Roman"/>
          <w:color w:val="000000"/>
          <w:sz w:val="24"/>
          <w:szCs w:val="24"/>
          <w:highlight w:val="none"/>
          <w:vertAlign w:val="subscript"/>
          <w:lang w:val="en-US" w:eastAsia="zh-CN"/>
        </w:rPr>
        <w:t>2</w:t>
      </w:r>
      <w:r>
        <w:rPr>
          <w:rFonts w:hint="default" w:ascii="Times New Roman" w:hAnsi="Times New Roman" w:cs="Times New Roman"/>
          <w:color w:val="000000"/>
          <w:sz w:val="24"/>
          <w:szCs w:val="24"/>
          <w:highlight w:val="none"/>
          <w:vertAlign w:val="baseline"/>
          <w:lang w:val="en-US" w:eastAsia="zh-CN"/>
        </w:rPr>
        <w:t>质量浓度</w:t>
      </w:r>
      <w:r>
        <w:rPr>
          <w:rFonts w:hint="default" w:ascii="Times New Roman" w:hAnsi="Times New Roman" w:cs="Times New Roman"/>
          <w:color w:val="000000"/>
          <w:sz w:val="24"/>
          <w:szCs w:val="24"/>
          <w:highlight w:val="none"/>
        </w:rPr>
        <w:t>3825</w:t>
      </w:r>
      <w:r>
        <w:rPr>
          <w:rFonts w:hint="default" w:ascii="Times New Roman" w:hAnsi="Times New Roman" w:cs="Times New Roman"/>
          <w:color w:val="000000"/>
          <w:sz w:val="24"/>
          <w:szCs w:val="24"/>
          <w:highlight w:val="none"/>
          <w:lang w:val="en-US" w:eastAsia="zh-CN"/>
        </w:rPr>
        <w:t xml:space="preserve"> </w:t>
      </w:r>
      <w:r>
        <w:rPr>
          <w:rFonts w:hint="default" w:ascii="Times New Roman" w:hAnsi="Times New Roman" w:cs="Times New Roman"/>
          <w:color w:val="000000"/>
          <w:sz w:val="24"/>
          <w:szCs w:val="24"/>
          <w:highlight w:val="none"/>
        </w:rPr>
        <w:t>mg/m</w:t>
      </w:r>
      <w:r>
        <w:rPr>
          <w:rFonts w:hint="default" w:ascii="Times New Roman" w:hAnsi="Times New Roman" w:cs="Times New Roman"/>
          <w:color w:val="000000"/>
          <w:sz w:val="24"/>
          <w:szCs w:val="24"/>
          <w:highlight w:val="none"/>
          <w:vertAlign w:val="superscript"/>
        </w:rPr>
        <w:t>3</w:t>
      </w:r>
      <w:r>
        <w:rPr>
          <w:rFonts w:hint="default" w:ascii="Times New Roman" w:hAnsi="Times New Roman" w:cs="Times New Roman"/>
          <w:color w:val="000000"/>
          <w:sz w:val="24"/>
          <w:szCs w:val="24"/>
          <w:highlight w:val="none"/>
        </w:rPr>
        <w:t>～6027 mg/m</w:t>
      </w:r>
      <w:r>
        <w:rPr>
          <w:rFonts w:hint="default" w:ascii="Times New Roman" w:hAnsi="Times New Roman" w:cs="Times New Roman"/>
          <w:color w:val="000000"/>
          <w:sz w:val="24"/>
          <w:szCs w:val="24"/>
          <w:highlight w:val="none"/>
          <w:vertAlign w:val="superscript"/>
        </w:rPr>
        <w:t>3</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rPr>
        <w:t>6027 mg/m</w:t>
      </w:r>
      <w:r>
        <w:rPr>
          <w:rFonts w:hint="default" w:ascii="Times New Roman" w:hAnsi="Times New Roman" w:cs="Times New Roman"/>
          <w:color w:val="000000"/>
          <w:sz w:val="24"/>
          <w:szCs w:val="24"/>
          <w:highlight w:val="none"/>
          <w:vertAlign w:val="superscript"/>
        </w:rPr>
        <w:t>3</w:t>
      </w:r>
      <w:r>
        <w:rPr>
          <w:rFonts w:hint="default" w:ascii="Times New Roman" w:hAnsi="Times New Roman" w:cs="Times New Roman"/>
          <w:color w:val="000000"/>
          <w:sz w:val="24"/>
          <w:szCs w:val="24"/>
          <w:highlight w:val="none"/>
          <w:vertAlign w:val="baseline"/>
          <w:lang w:val="en-US" w:eastAsia="zh-CN"/>
        </w:rPr>
        <w:t>已超过农业行业标准的要求，</w:t>
      </w:r>
      <w:r>
        <w:rPr>
          <w:rFonts w:hint="default" w:ascii="Times New Roman" w:hAnsi="Times New Roman" w:cs="Times New Roman"/>
          <w:color w:val="000000"/>
          <w:sz w:val="24"/>
          <w:szCs w:val="24"/>
          <w:highlight w:val="none"/>
          <w:lang w:val="en-US" w:eastAsia="zh-CN"/>
        </w:rPr>
        <w:t>故设定</w:t>
      </w:r>
      <w:r>
        <w:rPr>
          <w:rFonts w:hint="default" w:ascii="Times New Roman" w:hAnsi="Times New Roman" w:cs="Times New Roman"/>
          <w:sz w:val="24"/>
          <w:szCs w:val="24"/>
          <w:highlight w:val="none"/>
          <w:lang w:val="en-US" w:eastAsia="zh-CN"/>
        </w:rPr>
        <w:t>鸭舍</w:t>
      </w:r>
      <w:r>
        <w:rPr>
          <w:rFonts w:hint="default" w:ascii="Times New Roman" w:hAnsi="Times New Roman" w:cs="Times New Roman"/>
          <w:color w:val="000000"/>
          <w:sz w:val="24"/>
          <w:szCs w:val="24"/>
          <w:highlight w:val="none"/>
        </w:rPr>
        <w:t>长度以80 m～90 m为宜，不宜超过100</w:t>
      </w:r>
      <w:r>
        <w:rPr>
          <w:rFonts w:hint="default" w:ascii="Times New Roman" w:hAnsi="Times New Roman" w:cs="Times New Roman"/>
          <w:color w:val="000000"/>
          <w:sz w:val="24"/>
          <w:szCs w:val="24"/>
          <w:highlight w:val="none"/>
          <w:lang w:val="en-US" w:eastAsia="zh-CN"/>
        </w:rPr>
        <w:t xml:space="preserve"> m</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3</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sz w:val="24"/>
          <w:szCs w:val="24"/>
          <w:highlight w:val="none"/>
          <w:lang w:val="en-US" w:eastAsia="zh-CN"/>
        </w:rPr>
        <w:t>过道宽度</w:t>
      </w:r>
      <w:r>
        <w:rPr>
          <w:rFonts w:hint="default" w:ascii="Times New Roman" w:hAnsi="Times New Roman" w:cs="Times New Roman"/>
          <w:color w:val="000000"/>
          <w:sz w:val="24"/>
          <w:szCs w:val="24"/>
          <w:highlight w:val="none"/>
        </w:rPr>
        <w:t>需要满足饲养员日常工作的需要，如喂食、清洁、观察</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抓鸭</w:t>
      </w:r>
      <w:r>
        <w:rPr>
          <w:rFonts w:hint="default" w:ascii="Times New Roman" w:hAnsi="Times New Roman" w:cs="Times New Roman"/>
          <w:color w:val="000000"/>
          <w:sz w:val="24"/>
          <w:szCs w:val="24"/>
          <w:highlight w:val="none"/>
        </w:rPr>
        <w:t>等</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rPr>
        <w:t>过宽会浪费空间，过窄则会影响饲养员的工作效率</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因此将</w:t>
      </w:r>
      <w:r>
        <w:rPr>
          <w:rFonts w:hint="default" w:ascii="Times New Roman" w:hAnsi="Times New Roman" w:cs="Times New Roman"/>
          <w:sz w:val="24"/>
          <w:szCs w:val="24"/>
          <w:highlight w:val="none"/>
          <w:lang w:val="en-US" w:eastAsia="zh-CN"/>
        </w:rPr>
        <w:t>鸭舍长轴过道宽度设置为</w:t>
      </w:r>
      <w:r>
        <w:rPr>
          <w:rFonts w:hint="default" w:ascii="Times New Roman" w:hAnsi="Times New Roman" w:cs="Times New Roman"/>
          <w:color w:val="000000"/>
          <w:sz w:val="24"/>
          <w:szCs w:val="24"/>
          <w:highlight w:val="none"/>
          <w:lang w:val="en-US" w:eastAsia="zh-CN"/>
        </w:rPr>
        <w:t>1.1 m</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1.2 m较为合理</w:t>
      </w:r>
      <w:r>
        <w:rPr>
          <w:rFonts w:hint="default" w:ascii="Times New Roman" w:hAnsi="Times New Roman" w:cs="Times New Roman"/>
          <w:sz w:val="24"/>
          <w:szCs w:val="24"/>
          <w:highlight w:val="none"/>
          <w:lang w:val="en-US" w:eastAsia="zh-CN"/>
        </w:rPr>
        <w:t>；（4）鸭舍</w:t>
      </w:r>
      <w:r>
        <w:rPr>
          <w:rFonts w:hint="default" w:ascii="Times New Roman" w:hAnsi="Times New Roman" w:cs="Times New Roman"/>
          <w:color w:val="000000"/>
          <w:sz w:val="24"/>
          <w:szCs w:val="24"/>
          <w:highlight w:val="none"/>
        </w:rPr>
        <w:t>跨度应</w:t>
      </w:r>
      <w:r>
        <w:rPr>
          <w:rFonts w:hint="default" w:ascii="Times New Roman" w:hAnsi="Times New Roman" w:cs="Times New Roman"/>
          <w:color w:val="000000"/>
          <w:sz w:val="24"/>
          <w:szCs w:val="24"/>
          <w:highlight w:val="none"/>
          <w:lang w:val="en-US" w:eastAsia="zh-CN"/>
        </w:rPr>
        <w:t>根据</w:t>
      </w:r>
      <w:r>
        <w:rPr>
          <w:rFonts w:hint="default" w:ascii="Times New Roman" w:hAnsi="Times New Roman" w:cs="Times New Roman"/>
          <w:color w:val="000000"/>
          <w:sz w:val="24"/>
          <w:szCs w:val="24"/>
          <w:highlight w:val="none"/>
        </w:rPr>
        <w:t>笼具宽度、列数</w:t>
      </w:r>
      <w:r>
        <w:rPr>
          <w:rFonts w:hint="default" w:ascii="Times New Roman" w:hAnsi="Times New Roman" w:cs="Times New Roman"/>
          <w:color w:val="000000"/>
          <w:sz w:val="24"/>
          <w:szCs w:val="24"/>
          <w:highlight w:val="none"/>
          <w:lang w:val="en-US" w:eastAsia="zh-CN"/>
        </w:rPr>
        <w:t>及过道宽度进行</w:t>
      </w:r>
      <w:r>
        <w:rPr>
          <w:rFonts w:hint="default" w:ascii="Times New Roman" w:hAnsi="Times New Roman" w:cs="Times New Roman"/>
          <w:color w:val="000000"/>
          <w:sz w:val="24"/>
          <w:szCs w:val="24"/>
          <w:highlight w:val="none"/>
        </w:rPr>
        <w:t>设计，</w:t>
      </w:r>
      <w:r>
        <w:rPr>
          <w:rFonts w:hint="default" w:ascii="Times New Roman" w:hAnsi="Times New Roman" w:cs="Times New Roman"/>
          <w:color w:val="000000"/>
          <w:sz w:val="24"/>
          <w:szCs w:val="24"/>
          <w:highlight w:val="none"/>
          <w:lang w:val="en-US" w:eastAsia="zh-CN"/>
        </w:rPr>
        <w:t>如</w:t>
      </w:r>
      <w:r>
        <w:rPr>
          <w:rFonts w:hint="eastAsia" w:ascii="Times New Roman" w:cs="Times New Roman"/>
          <w:color w:val="000000"/>
          <w:sz w:val="24"/>
          <w:szCs w:val="24"/>
          <w:highlight w:val="none"/>
          <w:lang w:val="en-US" w:eastAsia="zh-CN"/>
        </w:rPr>
        <w:t>配置</w:t>
      </w:r>
      <w:r>
        <w:rPr>
          <w:rFonts w:hint="default" w:ascii="Times New Roman" w:hAnsi="Times New Roman" w:cs="Times New Roman"/>
          <w:color w:val="000000"/>
          <w:sz w:val="24"/>
          <w:szCs w:val="24"/>
          <w:highlight w:val="none"/>
          <w:lang w:val="en-US" w:eastAsia="zh-CN"/>
        </w:rPr>
        <w:t>5列笼具，笼具宽度为1.1 m，列数为5列，过道宽度为1.1 m，过道数为6列，那么</w:t>
      </w:r>
      <w:r>
        <w:rPr>
          <w:rFonts w:hint="default" w:ascii="Times New Roman" w:hAnsi="Times New Roman" w:cs="Times New Roman"/>
          <w:color w:val="000000"/>
          <w:sz w:val="24"/>
          <w:szCs w:val="24"/>
          <w:highlight w:val="none"/>
        </w:rPr>
        <w:t>配置5列层叠式笼具</w:t>
      </w:r>
      <w:r>
        <w:rPr>
          <w:rFonts w:hint="default" w:ascii="Times New Roman" w:hAnsi="Times New Roman" w:cs="Times New Roman"/>
          <w:color w:val="000000"/>
          <w:sz w:val="24"/>
          <w:szCs w:val="24"/>
          <w:highlight w:val="none"/>
          <w:lang w:val="en-US" w:eastAsia="zh-CN"/>
        </w:rPr>
        <w:t>的鸭舍</w:t>
      </w:r>
      <w:r>
        <w:rPr>
          <w:rFonts w:hint="default" w:ascii="Times New Roman" w:hAnsi="Times New Roman" w:cs="Times New Roman"/>
          <w:color w:val="000000"/>
          <w:sz w:val="24"/>
          <w:szCs w:val="24"/>
          <w:highlight w:val="none"/>
        </w:rPr>
        <w:t>跨度应不小于12.</w:t>
      </w:r>
      <w:r>
        <w:rPr>
          <w:rFonts w:hint="default" w:ascii="Times New Roman" w:hAnsi="Times New Roman" w:cs="Times New Roman"/>
          <w:color w:val="000000"/>
          <w:sz w:val="24"/>
          <w:szCs w:val="24"/>
          <w:highlight w:val="none"/>
          <w:lang w:val="en-US" w:eastAsia="zh-CN"/>
        </w:rPr>
        <w:t>1</w:t>
      </w:r>
      <w:r>
        <w:rPr>
          <w:rFonts w:hint="default" w:ascii="Times New Roman" w:hAnsi="Times New Roman" w:cs="Times New Roman"/>
          <w:color w:val="000000"/>
          <w:sz w:val="24"/>
          <w:szCs w:val="24"/>
          <w:highlight w:val="none"/>
        </w:rPr>
        <w:t xml:space="preserve"> m</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1.1*5+1.1*6=12.1 m</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5</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鸭舍高度应根据笼具堆叠高度、顶部空间和底面高度进行设计，</w:t>
      </w:r>
      <w:r>
        <w:rPr>
          <w:rFonts w:hint="default" w:ascii="Times New Roman" w:hAnsi="Times New Roman" w:cs="Times New Roman"/>
          <w:color w:val="000000"/>
          <w:sz w:val="24"/>
          <w:szCs w:val="24"/>
          <w:highlight w:val="none"/>
        </w:rPr>
        <w:t>鸭舍檐高适当高于笼具，有助于形成更好的空气流通空间，特别是在夏季高温时，可以有效降低鸭舍内部的温度，提高舍内温度的均匀性</w:t>
      </w:r>
      <w:r>
        <w:rPr>
          <w:rFonts w:hint="default" w:ascii="Times New Roman" w:hAnsi="Times New Roman" w:cs="Times New Roman"/>
          <w:color w:val="000000"/>
          <w:sz w:val="24"/>
          <w:szCs w:val="24"/>
          <w:highlight w:val="none"/>
          <w:lang w:eastAsia="zh-CN"/>
        </w:rPr>
        <w:t>，</w:t>
      </w:r>
      <w:r>
        <w:rPr>
          <w:rFonts w:hint="default" w:ascii="Times New Roman" w:hAnsi="Times New Roman" w:cs="Times New Roman"/>
          <w:color w:val="000000"/>
          <w:sz w:val="24"/>
          <w:szCs w:val="24"/>
          <w:highlight w:val="none"/>
          <w:lang w:val="en-US" w:eastAsia="zh-CN"/>
        </w:rPr>
        <w:t>根据实践经验，鸭舍檐高一般高出鸭笼0.6 m</w:t>
      </w:r>
      <w:r>
        <w:rPr>
          <w:rFonts w:hint="default" w:ascii="Times New Roman" w:hAnsi="Times New Roman" w:cs="Times New Roman"/>
          <w:color w:val="000000"/>
          <w:sz w:val="24"/>
          <w:szCs w:val="24"/>
          <w:highlight w:val="none"/>
        </w:rPr>
        <w:t>～</w:t>
      </w:r>
      <w:r>
        <w:rPr>
          <w:rFonts w:hint="default" w:ascii="Times New Roman" w:hAnsi="Times New Roman" w:cs="Times New Roman"/>
          <w:color w:val="000000"/>
          <w:sz w:val="24"/>
          <w:szCs w:val="24"/>
          <w:highlight w:val="none"/>
          <w:lang w:val="en-US" w:eastAsia="zh-CN"/>
        </w:rPr>
        <w:t>0.8 m。</w:t>
      </w:r>
    </w:p>
    <w:p w14:paraId="3D955005">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cs="Times New Roman" w:eastAsiaTheme="minorEastAsia"/>
          <w:b/>
          <w:bCs/>
          <w:color w:val="000000"/>
          <w:sz w:val="24"/>
          <w:szCs w:val="24"/>
          <w:highlight w:val="none"/>
          <w:lang w:val="en-US" w:eastAsia="zh-CN"/>
        </w:rPr>
      </w:pPr>
      <w:r>
        <w:rPr>
          <w:rFonts w:hint="default" w:cs="Times New Roman" w:eastAsiaTheme="minorEastAsia"/>
          <w:b/>
          <w:bCs/>
          <w:color w:val="000000"/>
          <w:sz w:val="24"/>
          <w:szCs w:val="24"/>
          <w:highlight w:val="none"/>
          <w:lang w:val="en-US" w:eastAsia="zh-CN"/>
        </w:rPr>
        <w:drawing>
          <wp:inline distT="0" distB="0" distL="114300" distR="114300">
            <wp:extent cx="5271770" cy="1916430"/>
            <wp:effectExtent l="0" t="0" r="5080" b="762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a:stretch>
                      <a:fillRect/>
                    </a:stretch>
                  </pic:blipFill>
                  <pic:spPr>
                    <a:xfrm>
                      <a:off x="0" y="0"/>
                      <a:ext cx="5271770" cy="1916430"/>
                    </a:xfrm>
                    <a:prstGeom prst="rect">
                      <a:avLst/>
                    </a:prstGeom>
                  </pic:spPr>
                </pic:pic>
              </a:graphicData>
            </a:graphic>
          </wp:inline>
        </w:drawing>
      </w:r>
    </w:p>
    <w:p w14:paraId="6633073C">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b w:val="0"/>
          <w:bCs w:val="0"/>
          <w:color w:val="000000"/>
          <w:sz w:val="24"/>
          <w:szCs w:val="24"/>
          <w:highlight w:val="none"/>
          <w:lang w:val="en-US" w:eastAsia="zh-CN"/>
        </w:rPr>
      </w:pPr>
      <w:r>
        <w:rPr>
          <w:rFonts w:hint="eastAsia" w:ascii="黑体" w:hAnsi="黑体" w:eastAsia="黑体" w:cs="黑体"/>
          <w:b w:val="0"/>
          <w:bCs w:val="0"/>
          <w:color w:val="000000"/>
          <w:sz w:val="24"/>
          <w:szCs w:val="24"/>
          <w:highlight w:val="none"/>
          <w:lang w:val="en-US" w:eastAsia="zh-CN"/>
        </w:rPr>
        <w:t>图1 层叠式笼养鸭舍设计</w:t>
      </w:r>
    </w:p>
    <w:p w14:paraId="0243F625">
      <w:pPr>
        <w:pStyle w:val="22"/>
        <w:keepNext w:val="0"/>
        <w:keepLines w:val="0"/>
        <w:pageBreakBefore w:val="0"/>
        <w:widowControl/>
        <w:kinsoku/>
        <w:wordWrap/>
        <w:overflowPunct/>
        <w:topLinePunct w:val="0"/>
        <w:autoSpaceDE/>
        <w:autoSpaceDN/>
        <w:bidi w:val="0"/>
        <w:adjustRightInd/>
        <w:snapToGrid/>
        <w:spacing w:before="156" w:beforeLines="50" w:after="156" w:afterLines="50" w:line="360" w:lineRule="auto"/>
        <w:ind w:left="0" w:leftChars="0" w:firstLine="0" w:firstLineChars="0"/>
        <w:textAlignment w:val="auto"/>
        <w:rPr>
          <w:highlight w:val="none"/>
        </w:rPr>
      </w:pPr>
      <w:r>
        <w:rPr>
          <w:highlight w:val="none"/>
        </w:rPr>
        <w:drawing>
          <wp:inline distT="0" distB="0" distL="114300" distR="114300">
            <wp:extent cx="5267325" cy="3241040"/>
            <wp:effectExtent l="0" t="0" r="9525" b="1651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5267325" cy="3241040"/>
                    </a:xfrm>
                    <a:prstGeom prst="rect">
                      <a:avLst/>
                    </a:prstGeom>
                    <a:noFill/>
                    <a:ln>
                      <a:noFill/>
                    </a:ln>
                  </pic:spPr>
                </pic:pic>
              </a:graphicData>
            </a:graphic>
          </wp:inline>
        </w:drawing>
      </w:r>
    </w:p>
    <w:p w14:paraId="41033CD8">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黑体" w:cs="Times New Roman"/>
          <w:highlight w:val="none"/>
          <w:lang w:val="en-US"/>
        </w:rPr>
      </w:pPr>
      <w:r>
        <w:rPr>
          <w:rFonts w:hint="eastAsia" w:ascii="黑体" w:hAnsi="黑体" w:eastAsia="黑体" w:cs="黑体"/>
          <w:b w:val="0"/>
          <w:bCs w:val="0"/>
          <w:color w:val="000000"/>
          <w:sz w:val="24"/>
          <w:szCs w:val="24"/>
          <w:highlight w:val="none"/>
          <w:lang w:val="en-US" w:eastAsia="zh-CN"/>
        </w:rPr>
        <w:t>图2 不同长度鸭舍的舍内风速</w:t>
      </w:r>
      <w:r>
        <w:rPr>
          <w:rFonts w:hint="default" w:ascii="Times New Roman" w:hAnsi="Times New Roman" w:eastAsia="黑体" w:cs="Times New Roman"/>
          <w:b w:val="0"/>
          <w:bCs w:val="0"/>
          <w:color w:val="000000"/>
          <w:sz w:val="24"/>
          <w:szCs w:val="24"/>
          <w:highlight w:val="none"/>
          <w:lang w:val="en-US" w:eastAsia="zh-CN"/>
        </w:rPr>
        <w:t>及</w:t>
      </w:r>
      <w:r>
        <w:rPr>
          <w:rFonts w:hint="default" w:ascii="Times New Roman" w:hAnsi="Times New Roman" w:eastAsia="黑体" w:cs="Times New Roman"/>
          <w:color w:val="000000"/>
          <w:sz w:val="24"/>
          <w:szCs w:val="24"/>
          <w:highlight w:val="none"/>
          <w:lang w:val="en-US" w:eastAsia="zh-CN"/>
        </w:rPr>
        <w:t>CO</w:t>
      </w:r>
      <w:r>
        <w:rPr>
          <w:rFonts w:hint="default" w:ascii="Times New Roman" w:hAnsi="Times New Roman" w:eastAsia="黑体" w:cs="Times New Roman"/>
          <w:color w:val="000000"/>
          <w:sz w:val="24"/>
          <w:szCs w:val="24"/>
          <w:highlight w:val="none"/>
          <w:vertAlign w:val="subscript"/>
          <w:lang w:val="en-US" w:eastAsia="zh-CN"/>
        </w:rPr>
        <w:t>2</w:t>
      </w:r>
      <w:r>
        <w:rPr>
          <w:rFonts w:hint="default" w:ascii="Times New Roman" w:hAnsi="Times New Roman" w:eastAsia="黑体" w:cs="Times New Roman"/>
          <w:color w:val="000000"/>
          <w:sz w:val="24"/>
          <w:szCs w:val="24"/>
          <w:highlight w:val="none"/>
          <w:vertAlign w:val="baseline"/>
          <w:lang w:val="en-US" w:eastAsia="zh-CN"/>
        </w:rPr>
        <w:t>质量浓度</w:t>
      </w:r>
    </w:p>
    <w:p w14:paraId="38379478">
      <w:pPr>
        <w:pStyle w:val="2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Times New Roman"/>
          <w:color w:val="000000"/>
          <w:sz w:val="24"/>
          <w:szCs w:val="24"/>
          <w:highlight w:val="none"/>
          <w:lang w:val="en-US" w:eastAsia="zh-CN"/>
        </w:rPr>
      </w:pPr>
      <w:r>
        <w:rPr>
          <w:rFonts w:hint="eastAsia" w:ascii="Times New Roman"/>
          <w:color w:val="000000"/>
          <w:sz w:val="24"/>
          <w:szCs w:val="24"/>
          <w:highlight w:val="none"/>
          <w:lang w:val="en-US" w:eastAsia="zh-CN"/>
        </w:rPr>
        <w:t>关于</w:t>
      </w:r>
      <w:r>
        <w:rPr>
          <w:rFonts w:hint="eastAsia" w:ascii="Times New Roman"/>
          <w:color w:val="000000"/>
          <w:sz w:val="24"/>
          <w:szCs w:val="24"/>
          <w:highlight w:val="none"/>
        </w:rPr>
        <w:t>相邻两栋鸭舍之间的距离设置需要综合考虑通风、采光、防疫、</w:t>
      </w:r>
      <w:r>
        <w:rPr>
          <w:rFonts w:hint="eastAsia" w:ascii="Times New Roman"/>
          <w:color w:val="000000"/>
          <w:sz w:val="24"/>
          <w:szCs w:val="24"/>
          <w:highlight w:val="none"/>
          <w:lang w:val="en-US" w:eastAsia="zh-CN"/>
        </w:rPr>
        <w:t>防火、</w:t>
      </w:r>
      <w:r>
        <w:rPr>
          <w:rFonts w:hint="eastAsia" w:ascii="Times New Roman"/>
          <w:color w:val="000000"/>
          <w:sz w:val="24"/>
          <w:szCs w:val="24"/>
          <w:highlight w:val="none"/>
        </w:rPr>
        <w:t>土地利用率等多个因素。</w:t>
      </w:r>
      <w:r>
        <w:rPr>
          <w:rFonts w:hint="eastAsia" w:ascii="Times New Roman"/>
          <w:color w:val="000000"/>
          <w:sz w:val="24"/>
          <w:szCs w:val="24"/>
          <w:highlight w:val="none"/>
          <w:lang w:val="en-US" w:eastAsia="zh-CN"/>
        </w:rPr>
        <w:t>本文件</w:t>
      </w:r>
      <w:r>
        <w:rPr>
          <w:rFonts w:hint="eastAsia" w:ascii="黑体" w:hAnsi="黑体" w:cs="黑体"/>
          <w:sz w:val="24"/>
          <w:szCs w:val="24"/>
          <w:highlight w:val="none"/>
          <w:lang w:val="en-US" w:eastAsia="zh-CN"/>
        </w:rPr>
        <w:t>参考《</w:t>
      </w:r>
      <w:r>
        <w:rPr>
          <w:rFonts w:hint="eastAsia" w:hAnsi="宋体" w:cs="宋体"/>
          <w:sz w:val="24"/>
          <w:szCs w:val="24"/>
          <w:highlight w:val="none"/>
        </w:rPr>
        <w:t xml:space="preserve">NY/T 682 </w:t>
      </w:r>
      <w:r>
        <w:rPr>
          <w:rFonts w:hint="eastAsia" w:hAnsi="宋体" w:cs="宋体"/>
          <w:sz w:val="24"/>
          <w:szCs w:val="24"/>
          <w:highlight w:val="none"/>
          <w:lang w:val="en-US" w:eastAsia="zh-CN"/>
        </w:rPr>
        <w:t xml:space="preserve"> </w:t>
      </w:r>
      <w:r>
        <w:rPr>
          <w:rFonts w:hint="eastAsia" w:hAnsi="宋体" w:cs="宋体"/>
          <w:sz w:val="24"/>
          <w:szCs w:val="24"/>
          <w:highlight w:val="none"/>
        </w:rPr>
        <w:t>畜禽场场区设计技术规范</w:t>
      </w:r>
      <w:r>
        <w:rPr>
          <w:rFonts w:hint="eastAsia" w:ascii="黑体" w:hAnsi="黑体" w:cs="黑体"/>
          <w:sz w:val="24"/>
          <w:szCs w:val="24"/>
          <w:highlight w:val="none"/>
          <w:lang w:val="en-US" w:eastAsia="zh-CN"/>
        </w:rPr>
        <w:t>》的相关要求，建议相邻两栋长轴平行的鸭舍，两平行侧墙之间的距离应为</w:t>
      </w:r>
      <w:r>
        <w:rPr>
          <w:rFonts w:ascii="Times New Roman"/>
          <w:color w:val="000000"/>
          <w:sz w:val="24"/>
          <w:szCs w:val="24"/>
          <w:highlight w:val="none"/>
        </w:rPr>
        <w:t>8 m～</w:t>
      </w:r>
      <w:r>
        <w:rPr>
          <w:rFonts w:hint="eastAsia" w:ascii="Times New Roman"/>
          <w:color w:val="000000"/>
          <w:sz w:val="24"/>
          <w:szCs w:val="24"/>
          <w:highlight w:val="none"/>
          <w:lang w:val="en-US" w:eastAsia="zh-CN"/>
        </w:rPr>
        <w:t>15</w:t>
      </w:r>
      <w:r>
        <w:rPr>
          <w:rFonts w:ascii="Times New Roman"/>
          <w:color w:val="000000"/>
          <w:sz w:val="24"/>
          <w:szCs w:val="24"/>
          <w:highlight w:val="none"/>
        </w:rPr>
        <w:t xml:space="preserve"> m</w:t>
      </w:r>
      <w:r>
        <w:rPr>
          <w:rFonts w:hint="eastAsia" w:ascii="Times New Roman"/>
          <w:color w:val="000000"/>
          <w:sz w:val="24"/>
          <w:szCs w:val="24"/>
          <w:highlight w:val="none"/>
          <w:lang w:val="en-US" w:eastAsia="zh-CN"/>
        </w:rPr>
        <w:t>，</w:t>
      </w:r>
      <w:r>
        <w:rPr>
          <w:rFonts w:hint="eastAsia" w:ascii="黑体" w:hAnsi="黑体" w:cs="黑体"/>
          <w:sz w:val="24"/>
          <w:szCs w:val="24"/>
          <w:highlight w:val="none"/>
          <w:lang w:val="en-US" w:eastAsia="zh-CN"/>
        </w:rPr>
        <w:t>相邻两栋短轴平行的鸭舍，两平行端墙之间的距离应为</w:t>
      </w:r>
      <w:r>
        <w:rPr>
          <w:rFonts w:hint="eastAsia" w:ascii="Times New Roman"/>
          <w:color w:val="000000"/>
          <w:sz w:val="24"/>
          <w:szCs w:val="24"/>
          <w:highlight w:val="none"/>
          <w:lang w:val="en-US" w:eastAsia="zh-CN"/>
        </w:rPr>
        <w:t>12</w:t>
      </w:r>
      <w:r>
        <w:rPr>
          <w:rFonts w:ascii="Times New Roman"/>
          <w:color w:val="000000"/>
          <w:sz w:val="24"/>
          <w:szCs w:val="24"/>
          <w:highlight w:val="none"/>
        </w:rPr>
        <w:t xml:space="preserve"> m～</w:t>
      </w:r>
      <w:r>
        <w:rPr>
          <w:rFonts w:hint="eastAsia" w:ascii="Times New Roman"/>
          <w:color w:val="000000"/>
          <w:sz w:val="24"/>
          <w:szCs w:val="24"/>
          <w:highlight w:val="none"/>
          <w:lang w:val="en-US" w:eastAsia="zh-CN"/>
        </w:rPr>
        <w:t>15</w:t>
      </w:r>
      <w:r>
        <w:rPr>
          <w:rFonts w:ascii="Times New Roman"/>
          <w:color w:val="000000"/>
          <w:sz w:val="24"/>
          <w:szCs w:val="24"/>
          <w:highlight w:val="none"/>
        </w:rPr>
        <w:t xml:space="preserve"> m</w:t>
      </w:r>
      <w:r>
        <w:rPr>
          <w:rFonts w:hint="eastAsia" w:ascii="Times New Roman"/>
          <w:color w:val="000000"/>
          <w:sz w:val="24"/>
          <w:szCs w:val="24"/>
          <w:highlight w:val="none"/>
          <w:lang w:val="en-US" w:eastAsia="zh-CN"/>
        </w:rPr>
        <w:t>，这一距离</w:t>
      </w:r>
      <w:r>
        <w:rPr>
          <w:rFonts w:hint="eastAsia" w:ascii="Times New Roman"/>
          <w:color w:val="000000"/>
          <w:sz w:val="24"/>
          <w:szCs w:val="24"/>
          <w:highlight w:val="none"/>
        </w:rPr>
        <w:t>有助于鸭舍之间形成良好的通风通道，确保空气流通，减少疾病传播的风险</w:t>
      </w:r>
      <w:r>
        <w:rPr>
          <w:rFonts w:hint="eastAsia" w:ascii="Times New Roman"/>
          <w:color w:val="000000"/>
          <w:sz w:val="24"/>
          <w:szCs w:val="24"/>
          <w:highlight w:val="none"/>
          <w:lang w:eastAsia="zh-CN"/>
        </w:rPr>
        <w:t>，</w:t>
      </w:r>
      <w:r>
        <w:rPr>
          <w:rFonts w:hint="eastAsia" w:ascii="Times New Roman"/>
          <w:color w:val="000000"/>
          <w:sz w:val="24"/>
          <w:szCs w:val="24"/>
          <w:highlight w:val="none"/>
          <w:lang w:val="en-US" w:eastAsia="zh-CN"/>
        </w:rPr>
        <w:t>此外也能够</w:t>
      </w:r>
      <w:r>
        <w:rPr>
          <w:rFonts w:hint="eastAsia" w:ascii="Times New Roman"/>
          <w:color w:val="000000"/>
          <w:sz w:val="24"/>
          <w:szCs w:val="24"/>
          <w:highlight w:val="none"/>
        </w:rPr>
        <w:t>符合防火安全间距的标准</w:t>
      </w:r>
      <w:r>
        <w:rPr>
          <w:rFonts w:hint="eastAsia" w:ascii="Times New Roman"/>
          <w:color w:val="000000"/>
          <w:sz w:val="24"/>
          <w:szCs w:val="24"/>
          <w:highlight w:val="none"/>
          <w:lang w:val="en-US" w:eastAsia="zh-CN"/>
        </w:rPr>
        <w:t>并有效利用土地资源。</w:t>
      </w:r>
    </w:p>
    <w:p w14:paraId="0437574D">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5.2饲养设备</w:t>
      </w:r>
    </w:p>
    <w:p w14:paraId="553C93DD">
      <w:pPr>
        <w:pStyle w:val="22"/>
        <w:keepNext w:val="0"/>
        <w:keepLines w:val="0"/>
        <w:pageBreakBefore w:val="0"/>
        <w:widowControl/>
        <w:kinsoku/>
        <w:wordWrap/>
        <w:overflowPunct/>
        <w:topLinePunct w:val="0"/>
        <w:autoSpaceDE w:val="0"/>
        <w:autoSpaceDN w:val="0"/>
        <w:bidi w:val="0"/>
        <w:adjustRightInd/>
        <w:snapToGrid/>
        <w:spacing w:line="360" w:lineRule="auto"/>
        <w:ind w:firstLine="420"/>
        <w:jc w:val="both"/>
        <w:textAlignment w:val="auto"/>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关于饲养笼具：（1）</w:t>
      </w:r>
      <w:r>
        <w:rPr>
          <w:rFonts w:hint="eastAsia" w:ascii="Times New Roman" w:hAnsi="Times New Roman" w:cs="Times New Roman"/>
          <w:sz w:val="24"/>
          <w:szCs w:val="24"/>
          <w:highlight w:val="none"/>
          <w:lang w:val="en-US" w:eastAsia="zh-CN"/>
        </w:rPr>
        <w:t>如图3所示，</w:t>
      </w:r>
      <w:r>
        <w:rPr>
          <w:rFonts w:hint="default" w:ascii="Times New Roman" w:hAnsi="Times New Roman" w:cs="Times New Roman"/>
          <w:sz w:val="24"/>
          <w:szCs w:val="24"/>
          <w:highlight w:val="none"/>
          <w:lang w:val="en-US" w:eastAsia="zh-CN"/>
        </w:rPr>
        <w:t>笼具应纵向排列，笼组为H型；（2）目前的肉鸭笼具宽度一般均设为1.1 m，以方便抓鸭等操作；根据郗正林等</w:t>
      </w:r>
      <w:r>
        <w:rPr>
          <w:rFonts w:hint="eastAsia" w:ascii="宋体" w:hAnsi="宋体" w:cs="宋体"/>
          <w:b w:val="0"/>
          <w:bCs w:val="0"/>
          <w:i w:val="0"/>
          <w:iCs w:val="0"/>
          <w:color w:val="000000"/>
          <w:sz w:val="24"/>
          <w:szCs w:val="24"/>
          <w:highlight w:val="none"/>
          <w:vertAlign w:val="superscript"/>
          <w:lang w:val="en-US" w:eastAsia="zh-CN"/>
        </w:rPr>
        <w:t>[</w:t>
      </w:r>
      <w:r>
        <w:rPr>
          <w:rFonts w:hint="eastAsia" w:hAnsi="宋体" w:cs="宋体"/>
          <w:b w:val="0"/>
          <w:bCs w:val="0"/>
          <w:i w:val="0"/>
          <w:iCs w:val="0"/>
          <w:color w:val="000000"/>
          <w:sz w:val="24"/>
          <w:szCs w:val="24"/>
          <w:highlight w:val="none"/>
          <w:vertAlign w:val="superscript"/>
          <w:lang w:val="en-US" w:eastAsia="zh-CN"/>
        </w:rPr>
        <w:t>5</w:t>
      </w:r>
      <w:r>
        <w:rPr>
          <w:rFonts w:hint="eastAsia" w:ascii="宋体" w:hAnsi="宋体" w:cs="宋体"/>
          <w:b w:val="0"/>
          <w:bCs w:val="0"/>
          <w:i w:val="0"/>
          <w:iCs w:val="0"/>
          <w:color w:val="000000"/>
          <w:sz w:val="24"/>
          <w:szCs w:val="24"/>
          <w:highlight w:val="none"/>
          <w:vertAlign w:val="superscript"/>
          <w:lang w:val="en-US" w:eastAsia="zh-CN"/>
        </w:rPr>
        <w:t>]</w:t>
      </w:r>
      <w:r>
        <w:rPr>
          <w:rFonts w:hint="default" w:ascii="Times New Roman" w:hAnsi="Times New Roman" w:cs="Times New Roman"/>
          <w:sz w:val="24"/>
          <w:szCs w:val="24"/>
          <w:highlight w:val="none"/>
          <w:lang w:val="en-US" w:eastAsia="zh-CN"/>
        </w:rPr>
        <w:t>的研究，在养殖密度及饲养方式相同的情况下，单元笼底面积大小在一定范围内不影响肉鸭生产性能，因此，本文件依据养殖企业现使用的笼具规格，建议笼具长度为1 m～2 m；不同笼高会对笼内环境产生</w:t>
      </w:r>
      <w:r>
        <w:rPr>
          <w:rFonts w:hint="eastAsia" w:ascii="Times New Roman" w:hAnsi="Times New Roman" w:cs="Times New Roman"/>
          <w:sz w:val="24"/>
          <w:szCs w:val="24"/>
          <w:highlight w:val="none"/>
          <w:lang w:val="en-US" w:eastAsia="zh-CN"/>
        </w:rPr>
        <w:t>显著</w:t>
      </w:r>
      <w:r>
        <w:rPr>
          <w:rFonts w:hint="default" w:ascii="Times New Roman" w:hAnsi="Times New Roman" w:cs="Times New Roman"/>
          <w:sz w:val="24"/>
          <w:szCs w:val="24"/>
          <w:highlight w:val="none"/>
          <w:lang w:val="en-US" w:eastAsia="zh-CN"/>
        </w:rPr>
        <w:t>影响。</w:t>
      </w:r>
      <w:r>
        <w:rPr>
          <w:rFonts w:hint="eastAsia" w:ascii="Times New Roman" w:hAnsi="Times New Roman" w:cs="Times New Roman"/>
          <w:sz w:val="24"/>
          <w:szCs w:val="24"/>
          <w:highlight w:val="none"/>
          <w:lang w:val="en-US" w:eastAsia="zh-CN"/>
        </w:rPr>
        <w:t>如表1所示，</w:t>
      </w:r>
      <w:r>
        <w:rPr>
          <w:rFonts w:hint="default" w:ascii="Times New Roman" w:hAnsi="Times New Roman" w:cs="Times New Roman"/>
          <w:sz w:val="24"/>
          <w:szCs w:val="24"/>
          <w:highlight w:val="none"/>
          <w:lang w:val="en-US" w:eastAsia="zh-CN"/>
        </w:rPr>
        <w:t>52 cm笼高的笼型在通风性能和环境有害因子等控制上优于笼高48 cm和45 cm的笼型，其中52 cm笼高的笼型1~4周龄舍内氨气浓度与笼高48 cm和45 cm的笼型相比差异显著（</w:t>
      </w:r>
      <w:r>
        <w:rPr>
          <w:rFonts w:hint="default" w:ascii="Times New Roman" w:hAnsi="Times New Roman" w:cs="Times New Roman"/>
          <w:i/>
          <w:iCs/>
          <w:sz w:val="24"/>
          <w:szCs w:val="24"/>
          <w:highlight w:val="none"/>
          <w:lang w:val="en-US" w:eastAsia="zh-CN"/>
        </w:rPr>
        <w:t>P</w:t>
      </w:r>
      <w:r>
        <w:rPr>
          <w:rFonts w:hint="default" w:ascii="Times New Roman" w:hAnsi="Times New Roman" w:cs="Times New Roman"/>
          <w:sz w:val="24"/>
          <w:szCs w:val="24"/>
          <w:highlight w:val="none"/>
          <w:lang w:val="en-US" w:eastAsia="zh-CN"/>
        </w:rPr>
        <w:t>&lt;0.05），5~6周龄舍内氨气浓度与笼高48 cm的笼型相比差异显著（</w:t>
      </w:r>
      <w:r>
        <w:rPr>
          <w:rFonts w:hint="default" w:ascii="Times New Roman" w:hAnsi="Times New Roman" w:cs="Times New Roman"/>
          <w:i/>
          <w:iCs/>
          <w:sz w:val="24"/>
          <w:szCs w:val="24"/>
          <w:highlight w:val="none"/>
          <w:lang w:val="en-US" w:eastAsia="zh-CN"/>
        </w:rPr>
        <w:t>P</w:t>
      </w:r>
      <w:r>
        <w:rPr>
          <w:rFonts w:hint="default" w:ascii="Times New Roman" w:hAnsi="Times New Roman" w:cs="Times New Roman"/>
          <w:sz w:val="24"/>
          <w:szCs w:val="24"/>
          <w:highlight w:val="none"/>
          <w:lang w:val="en-US" w:eastAsia="zh-CN"/>
        </w:rPr>
        <w:t>&lt;0.05），与笼高45 cm的笼型比较差异极显著（</w:t>
      </w:r>
      <w:r>
        <w:rPr>
          <w:rFonts w:hint="default" w:ascii="Times New Roman" w:hAnsi="Times New Roman" w:cs="Times New Roman"/>
          <w:i/>
          <w:iCs/>
          <w:sz w:val="24"/>
          <w:szCs w:val="24"/>
          <w:highlight w:val="none"/>
          <w:lang w:val="en-US" w:eastAsia="zh-CN"/>
        </w:rPr>
        <w:t>P</w:t>
      </w:r>
      <w:r>
        <w:rPr>
          <w:rFonts w:hint="default" w:ascii="Times New Roman" w:hAnsi="Times New Roman" w:cs="Times New Roman"/>
          <w:sz w:val="24"/>
          <w:szCs w:val="24"/>
          <w:highlight w:val="none"/>
          <w:lang w:val="en-US" w:eastAsia="zh-CN"/>
        </w:rPr>
        <w:t>&lt;0.01）</w:t>
      </w:r>
      <w:r>
        <w:rPr>
          <w:rFonts w:hint="eastAsia" w:ascii="Times New Roman" w:hAnsi="Times New Roman" w:cs="Times New Roman"/>
          <w:sz w:val="24"/>
          <w:szCs w:val="24"/>
          <w:highlight w:val="none"/>
          <w:lang w:val="en-US" w:eastAsia="zh-CN"/>
        </w:rPr>
        <w:t>。此外，如表2所示，肉鸭（以樱桃谷鸭为例）在行为状态上，52 cm笼高的笼型能保证后期肉鸭站位更加自然，饮水活动更加舒适，考虑到多层笼养的空间利用率，因此，52-65 cm笼高的笼型较符合层叠式笼养的要求；鸭舍内笼具的列数和层数</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需要平衡养殖密度、环境控制和饲养管理等多个方面的要求，在实际应用中，4层笼、6列鸭舍内的风阻效应已明显大于3层笼、5列，对技术的要求更高，调节的难度更大，因此建议单列以3层～4层为宜，每栋鸭舍不宜超过7列</w:t>
      </w:r>
      <w:r>
        <w:rPr>
          <w:rFonts w:hint="default" w:ascii="Times New Roman" w:hAnsi="Times New Roman" w:cs="Times New Roman"/>
          <w:sz w:val="24"/>
          <w:szCs w:val="24"/>
          <w:highlight w:val="none"/>
          <w:lang w:val="en-US" w:eastAsia="zh-CN"/>
        </w:rPr>
        <w:t>。</w:t>
      </w:r>
    </w:p>
    <w:p w14:paraId="7123C676">
      <w:pPr>
        <w:pStyle w:val="22"/>
        <w:keepNext w:val="0"/>
        <w:keepLines w:val="0"/>
        <w:pageBreakBefore w:val="0"/>
        <w:widowControl/>
        <w:kinsoku/>
        <w:wordWrap/>
        <w:overflowPunct/>
        <w:topLinePunct w:val="0"/>
        <w:autoSpaceDE w:val="0"/>
        <w:autoSpaceDN w:val="0"/>
        <w:bidi w:val="0"/>
        <w:adjustRightInd/>
        <w:snapToGrid/>
        <w:spacing w:before="156" w:beforeLines="50" w:after="156" w:afterLines="50" w:line="360" w:lineRule="auto"/>
        <w:ind w:left="0" w:leftChars="0" w:firstLine="0" w:firstLineChars="0"/>
        <w:jc w:val="center"/>
        <w:textAlignment w:val="auto"/>
        <w:rPr>
          <w:rFonts w:hint="eastAsia" w:ascii="Times New Roman" w:hAnsi="Times New Roman" w:cs="Times New Roman" w:eastAsiaTheme="minorEastAsia"/>
          <w:color w:val="000000"/>
          <w:kern w:val="2"/>
          <w:sz w:val="24"/>
          <w:szCs w:val="24"/>
          <w:highlight w:val="none"/>
          <w:lang w:eastAsia="zh-CN"/>
        </w:rPr>
      </w:pPr>
      <w:r>
        <w:rPr>
          <w:rFonts w:hint="eastAsia" w:ascii="Times New Roman" w:hAnsi="Times New Roman" w:cs="Times New Roman" w:eastAsiaTheme="minorEastAsia"/>
          <w:color w:val="000000"/>
          <w:kern w:val="2"/>
          <w:sz w:val="24"/>
          <w:szCs w:val="24"/>
          <w:highlight w:val="none"/>
          <w:lang w:eastAsia="zh-CN"/>
        </w:rPr>
        <w:drawing>
          <wp:inline distT="0" distB="0" distL="114300" distR="114300">
            <wp:extent cx="3736975" cy="3700145"/>
            <wp:effectExtent l="0" t="0" r="15875" b="14605"/>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7"/>
                    <a:stretch>
                      <a:fillRect/>
                    </a:stretch>
                  </pic:blipFill>
                  <pic:spPr>
                    <a:xfrm>
                      <a:off x="0" y="0"/>
                      <a:ext cx="3736975" cy="3700145"/>
                    </a:xfrm>
                    <a:prstGeom prst="rect">
                      <a:avLst/>
                    </a:prstGeom>
                  </pic:spPr>
                </pic:pic>
              </a:graphicData>
            </a:graphic>
          </wp:inline>
        </w:drawing>
      </w:r>
    </w:p>
    <w:p w14:paraId="40EF4042">
      <w:pPr>
        <w:pStyle w:val="22"/>
        <w:keepNext w:val="0"/>
        <w:keepLines w:val="0"/>
        <w:pageBreakBefore w:val="0"/>
        <w:widowControl/>
        <w:kinsoku/>
        <w:wordWrap/>
        <w:overflowPunct/>
        <w:topLinePunct w:val="0"/>
        <w:autoSpaceDE w:val="0"/>
        <w:autoSpaceDN w:val="0"/>
        <w:bidi w:val="0"/>
        <w:adjustRightInd/>
        <w:snapToGrid/>
        <w:spacing w:before="156" w:beforeLines="50" w:after="156" w:afterLines="50" w:line="360" w:lineRule="auto"/>
        <w:ind w:firstLine="420"/>
        <w:jc w:val="center"/>
        <w:textAlignment w:val="auto"/>
        <w:rPr>
          <w:rFonts w:hint="default" w:ascii="Times New Roman" w:hAnsi="Times New Roman" w:cs="Times New Roman" w:eastAsiaTheme="minorEastAsia"/>
          <w:color w:val="000000"/>
          <w:kern w:val="2"/>
          <w:sz w:val="24"/>
          <w:szCs w:val="24"/>
          <w:highlight w:val="none"/>
          <w:lang w:val="en-US" w:eastAsia="zh-CN"/>
        </w:rPr>
      </w:pPr>
      <w:r>
        <w:rPr>
          <w:rFonts w:hint="eastAsia" w:ascii="黑体" w:hAnsi="黑体" w:eastAsia="黑体" w:cs="黑体"/>
          <w:b w:val="0"/>
          <w:bCs w:val="0"/>
          <w:color w:val="000000"/>
          <w:sz w:val="24"/>
          <w:szCs w:val="24"/>
          <w:highlight w:val="none"/>
          <w:lang w:val="en-US" w:eastAsia="zh-CN"/>
        </w:rPr>
        <w:t>图3 层叠式笼养的笼具设计</w:t>
      </w:r>
    </w:p>
    <w:p w14:paraId="126BAD97">
      <w:pPr>
        <w:keepNext w:val="0"/>
        <w:keepLines w:val="0"/>
        <w:widowControl/>
        <w:suppressLineNumbers w:val="0"/>
        <w:jc w:val="center"/>
        <w:rPr>
          <w:highlight w:val="none"/>
        </w:rPr>
      </w:pPr>
      <w:r>
        <w:rPr>
          <w:rStyle w:val="24"/>
          <w:sz w:val="24"/>
          <w:szCs w:val="24"/>
          <w:highlight w:val="none"/>
          <w:lang w:val="en-US" w:eastAsia="zh-CN" w:bidi="ar"/>
        </w:rPr>
        <w:t>表</w:t>
      </w:r>
      <w:r>
        <w:rPr>
          <w:rStyle w:val="24"/>
          <w:rFonts w:hint="eastAsia"/>
          <w:sz w:val="24"/>
          <w:szCs w:val="24"/>
          <w:highlight w:val="none"/>
          <w:lang w:val="en-US" w:eastAsia="zh-CN" w:bidi="ar"/>
        </w:rPr>
        <w:t xml:space="preserve">1 </w:t>
      </w:r>
      <w:r>
        <w:rPr>
          <w:rStyle w:val="24"/>
          <w:sz w:val="24"/>
          <w:szCs w:val="24"/>
          <w:highlight w:val="none"/>
          <w:lang w:val="en-US" w:eastAsia="zh-CN" w:bidi="ar"/>
        </w:rPr>
        <w:t>不同笼高对鸭舍内部环境的影响</w:t>
      </w:r>
      <w:r>
        <w:rPr>
          <w:rStyle w:val="24"/>
          <w:highlight w:val="none"/>
          <w:lang w:val="en-US" w:eastAsia="zh-CN" w:bidi="ar"/>
        </w:rPr>
        <w:br w:type="textWrapping"/>
      </w:r>
      <w:r>
        <w:rPr>
          <w:highlight w:val="none"/>
        </w:rPr>
        <w:drawing>
          <wp:inline distT="0" distB="0" distL="114300" distR="114300">
            <wp:extent cx="5267325" cy="3573145"/>
            <wp:effectExtent l="0" t="0" r="952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67325" cy="3573145"/>
                    </a:xfrm>
                    <a:prstGeom prst="rect">
                      <a:avLst/>
                    </a:prstGeom>
                    <a:noFill/>
                    <a:ln>
                      <a:noFill/>
                    </a:ln>
                  </pic:spPr>
                </pic:pic>
              </a:graphicData>
            </a:graphic>
          </wp:inline>
        </w:drawing>
      </w:r>
    </w:p>
    <w:p w14:paraId="56AE950D">
      <w:pPr>
        <w:keepNext w:val="0"/>
        <w:keepLines w:val="0"/>
        <w:widowControl/>
        <w:suppressLineNumbers w:val="0"/>
        <w:jc w:val="center"/>
        <w:rPr>
          <w:rStyle w:val="24"/>
          <w:rFonts w:hint="eastAsia" w:hAnsi="宋体"/>
          <w:b w:val="0"/>
          <w:bCs w:val="0"/>
          <w:i w:val="0"/>
          <w:iCs w:val="0"/>
          <w:sz w:val="24"/>
          <w:szCs w:val="24"/>
          <w:highlight w:val="none"/>
          <w:lang w:val="en-US" w:eastAsia="zh-CN" w:bidi="ar"/>
        </w:rPr>
      </w:pPr>
      <w:r>
        <w:rPr>
          <w:rStyle w:val="24"/>
          <w:rFonts w:hint="eastAsia" w:hAnsi="宋体"/>
          <w:b w:val="0"/>
          <w:bCs w:val="0"/>
          <w:i w:val="0"/>
          <w:iCs w:val="0"/>
          <w:sz w:val="24"/>
          <w:szCs w:val="24"/>
          <w:highlight w:val="none"/>
          <w:lang w:val="en-US" w:eastAsia="zh-CN" w:bidi="ar"/>
        </w:rPr>
        <w:t>表2 5周龄肉鸭自然站位下的空间尺寸</w:t>
      </w:r>
    </w:p>
    <w:p w14:paraId="3835535A">
      <w:pPr>
        <w:pStyle w:val="22"/>
        <w:spacing w:before="156" w:beforeLines="50" w:after="156" w:afterLines="50"/>
        <w:ind w:left="0" w:leftChars="0" w:firstLine="0" w:firstLineChars="0"/>
        <w:rPr>
          <w:rFonts w:hint="eastAsia" w:ascii="Times New Roman" w:hAnsi="Times New Roman" w:cs="Times New Roman" w:eastAsiaTheme="minorEastAsia"/>
          <w:color w:val="000000"/>
          <w:kern w:val="2"/>
          <w:sz w:val="24"/>
          <w:szCs w:val="24"/>
          <w:highlight w:val="none"/>
          <w:lang w:eastAsia="zh-CN"/>
        </w:rPr>
      </w:pPr>
      <w:r>
        <w:rPr>
          <w:highlight w:val="none"/>
        </w:rPr>
        <w:drawing>
          <wp:inline distT="0" distB="0" distL="114300" distR="114300">
            <wp:extent cx="5262245" cy="1120775"/>
            <wp:effectExtent l="0" t="0" r="1460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62245" cy="1120775"/>
                    </a:xfrm>
                    <a:prstGeom prst="rect">
                      <a:avLst/>
                    </a:prstGeom>
                    <a:noFill/>
                    <a:ln>
                      <a:noFill/>
                    </a:ln>
                  </pic:spPr>
                </pic:pic>
              </a:graphicData>
            </a:graphic>
          </wp:inline>
        </w:drawing>
      </w:r>
    </w:p>
    <w:p w14:paraId="0B601DC8">
      <w:pPr>
        <w:pStyle w:val="22"/>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关于饮水系统，</w:t>
      </w:r>
      <w:r>
        <w:rPr>
          <w:rFonts w:hint="eastAsia" w:ascii="Times New Roman" w:cs="Times New Roman" w:eastAsiaTheme="minorEastAsia"/>
          <w:color w:val="000000"/>
          <w:kern w:val="2"/>
          <w:sz w:val="24"/>
          <w:szCs w:val="24"/>
          <w:highlight w:val="none"/>
          <w:lang w:val="en-US" w:eastAsia="zh-CN" w:bidi="ar-SA"/>
        </w:rPr>
        <w:t>层叠式笼养应</w:t>
      </w:r>
      <w:r>
        <w:rPr>
          <w:rFonts w:hint="eastAsia" w:ascii="Times New Roman" w:hAnsi="Times New Roman" w:cs="Times New Roman" w:eastAsiaTheme="minorEastAsia"/>
          <w:color w:val="000000"/>
          <w:kern w:val="2"/>
          <w:sz w:val="24"/>
          <w:szCs w:val="24"/>
          <w:highlight w:val="none"/>
          <w:lang w:val="en-US" w:eastAsia="zh-CN" w:bidi="ar-SA"/>
        </w:rPr>
        <w:t>配备乳头式自动饮水系统，</w:t>
      </w:r>
      <w:r>
        <w:rPr>
          <w:rFonts w:hint="eastAsia" w:ascii="Times New Roman" w:cs="Times New Roman" w:eastAsiaTheme="minorEastAsia"/>
          <w:color w:val="000000"/>
          <w:kern w:val="2"/>
          <w:sz w:val="24"/>
          <w:szCs w:val="24"/>
          <w:highlight w:val="none"/>
          <w:lang w:val="en-US" w:eastAsia="zh-CN" w:bidi="ar-SA"/>
        </w:rPr>
        <w:t>乳头式饮水器</w:t>
      </w:r>
      <w:r>
        <w:rPr>
          <w:rFonts w:hint="eastAsia" w:ascii="Times New Roman" w:hAnsi="Times New Roman" w:cs="Times New Roman" w:eastAsiaTheme="minorEastAsia"/>
          <w:color w:val="000000"/>
          <w:kern w:val="2"/>
          <w:sz w:val="24"/>
          <w:szCs w:val="24"/>
          <w:highlight w:val="none"/>
          <w:lang w:val="en-US" w:eastAsia="zh-CN" w:bidi="ar-SA"/>
        </w:rPr>
        <w:t>的</w:t>
      </w:r>
      <w:r>
        <w:rPr>
          <w:rFonts w:hint="eastAsia" w:ascii="Times New Roman" w:cs="Times New Roman" w:eastAsiaTheme="minorEastAsia"/>
          <w:color w:val="000000"/>
          <w:kern w:val="2"/>
          <w:sz w:val="24"/>
          <w:szCs w:val="24"/>
          <w:highlight w:val="none"/>
          <w:lang w:val="en-US" w:eastAsia="zh-CN" w:bidi="ar-SA"/>
        </w:rPr>
        <w:t>数量需要满足</w:t>
      </w:r>
      <w:r>
        <w:rPr>
          <w:rFonts w:hint="eastAsia" w:ascii="Times New Roman" w:hAnsi="Times New Roman" w:cs="Times New Roman" w:eastAsiaTheme="minorEastAsia"/>
          <w:color w:val="000000"/>
          <w:kern w:val="2"/>
          <w:sz w:val="24"/>
          <w:szCs w:val="24"/>
          <w:highlight w:val="none"/>
          <w:lang w:val="en-US" w:eastAsia="zh-CN" w:bidi="ar-SA"/>
        </w:rPr>
        <w:t>肉鸭的饮水需求</w:t>
      </w:r>
      <w:r>
        <w:rPr>
          <w:rFonts w:hint="eastAsia" w:ascii="Times New Roman" w:cs="Times New Roman" w:eastAsiaTheme="minorEastAsia"/>
          <w:color w:val="000000"/>
          <w:kern w:val="2"/>
          <w:sz w:val="24"/>
          <w:szCs w:val="24"/>
          <w:highlight w:val="none"/>
          <w:lang w:val="en-US" w:eastAsia="zh-CN" w:bidi="ar-SA"/>
        </w:rPr>
        <w:t>，根据实践经验，</w:t>
      </w:r>
      <w:r>
        <w:rPr>
          <w:rFonts w:hint="eastAsia" w:ascii="Times New Roman" w:hAnsi="Times New Roman" w:cs="Times New Roman" w:eastAsiaTheme="minorEastAsia"/>
          <w:color w:val="000000"/>
          <w:kern w:val="2"/>
          <w:sz w:val="24"/>
          <w:szCs w:val="24"/>
          <w:highlight w:val="none"/>
          <w:lang w:val="en-US" w:eastAsia="zh-CN" w:bidi="ar-SA"/>
        </w:rPr>
        <w:t>应配备3 个/m以上</w:t>
      </w:r>
      <w:r>
        <w:rPr>
          <w:rFonts w:hint="eastAsia" w:ascii="Times New Roman"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饮水线下方应配备集水槽</w:t>
      </w:r>
      <w:r>
        <w:rPr>
          <w:rFonts w:hint="eastAsia" w:ascii="Times New Roman" w:cs="Times New Roman" w:eastAsiaTheme="minorEastAsia"/>
          <w:color w:val="000000"/>
          <w:kern w:val="2"/>
          <w:sz w:val="24"/>
          <w:szCs w:val="24"/>
          <w:highlight w:val="none"/>
          <w:lang w:val="en-US" w:eastAsia="zh-CN" w:bidi="ar-SA"/>
        </w:rPr>
        <w:t>，集水槽可以将饮水和污水分离，降低肉鸭粪污处理难度；</w:t>
      </w:r>
      <w:r>
        <w:rPr>
          <w:rFonts w:hint="eastAsia" w:ascii="Times New Roman" w:hAnsi="Times New Roman" w:cs="Times New Roman" w:eastAsiaTheme="minorEastAsia"/>
          <w:color w:val="000000"/>
          <w:kern w:val="2"/>
          <w:sz w:val="24"/>
          <w:szCs w:val="24"/>
          <w:highlight w:val="none"/>
          <w:lang w:val="en-US" w:eastAsia="zh-CN" w:bidi="ar-SA"/>
        </w:rPr>
        <w:t>饮水线应整体吊装平衡，可根据鸭龄大小调至肉鸭舒适的饮水高度</w:t>
      </w:r>
      <w:r>
        <w:rPr>
          <w:rFonts w:hint="eastAsia" w:ascii="Times New Roman" w:cs="Times New Roman" w:eastAsiaTheme="minorEastAsia"/>
          <w:color w:val="000000"/>
          <w:kern w:val="2"/>
          <w:sz w:val="24"/>
          <w:szCs w:val="24"/>
          <w:highlight w:val="none"/>
          <w:lang w:val="en-US" w:eastAsia="zh-CN" w:bidi="ar-SA"/>
        </w:rPr>
        <w:t>（以鸭只伸颈即可饮水为宜）</w:t>
      </w:r>
      <w:r>
        <w:rPr>
          <w:rFonts w:hint="eastAsia" w:ascii="Times New Roman" w:hAnsi="Times New Roman" w:cs="Times New Roman" w:eastAsiaTheme="minorEastAsia"/>
          <w:color w:val="000000"/>
          <w:kern w:val="2"/>
          <w:sz w:val="24"/>
          <w:szCs w:val="24"/>
          <w:highlight w:val="none"/>
          <w:lang w:val="en-US" w:eastAsia="zh-CN" w:bidi="ar-SA"/>
        </w:rPr>
        <w:t>，确保不同生长阶段的肉鸭获得充足的饮水。</w:t>
      </w:r>
    </w:p>
    <w:p w14:paraId="096A3D89">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b/>
          <w:bCs/>
          <w:color w:val="000000"/>
          <w:kern w:val="2"/>
          <w:sz w:val="24"/>
          <w:szCs w:val="24"/>
          <w:highlight w:val="none"/>
          <w:lang w:val="en-US" w:eastAsia="zh-CN"/>
        </w:rPr>
      </w:pPr>
      <w:r>
        <w:rPr>
          <w:rFonts w:hint="eastAsia" w:ascii="Times New Roman" w:hAnsi="Times New Roman" w:cs="Times New Roman" w:eastAsiaTheme="minorEastAsia"/>
          <w:b/>
          <w:bCs/>
          <w:color w:val="000000"/>
          <w:kern w:val="2"/>
          <w:sz w:val="24"/>
          <w:szCs w:val="24"/>
          <w:highlight w:val="none"/>
          <w:lang w:val="en-US" w:eastAsia="zh-CN"/>
        </w:rPr>
        <w:t>5.3环境控制系统</w:t>
      </w:r>
    </w:p>
    <w:p w14:paraId="2189F02E">
      <w:pPr>
        <w:pStyle w:val="22"/>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肉鸭层叠式笼养模式的环境控制系统</w:t>
      </w:r>
      <w:r>
        <w:rPr>
          <w:rFonts w:hint="eastAsia" w:ascii="Times New Roman" w:cs="Times New Roman" w:eastAsiaTheme="minorEastAsia"/>
          <w:color w:val="000000"/>
          <w:kern w:val="2"/>
          <w:sz w:val="24"/>
          <w:szCs w:val="24"/>
          <w:highlight w:val="none"/>
          <w:lang w:val="en-US" w:eastAsia="zh-CN" w:bidi="ar-SA"/>
        </w:rPr>
        <w:t>主要</w:t>
      </w:r>
      <w:r>
        <w:rPr>
          <w:rFonts w:hint="eastAsia" w:ascii="Times New Roman" w:hAnsi="Times New Roman" w:cs="Times New Roman" w:eastAsiaTheme="minorEastAsia"/>
          <w:color w:val="000000"/>
          <w:kern w:val="2"/>
          <w:sz w:val="24"/>
          <w:szCs w:val="24"/>
          <w:highlight w:val="none"/>
          <w:lang w:val="en-US" w:eastAsia="zh-CN" w:bidi="ar-SA"/>
        </w:rPr>
        <w:t>包括通风设备、温控设备、光照设备及监控设备</w:t>
      </w:r>
      <w:r>
        <w:rPr>
          <w:rFonts w:hint="eastAsia" w:ascii="Times New Roman" w:cs="Times New Roman" w:eastAsiaTheme="minorEastAsia"/>
          <w:color w:val="000000"/>
          <w:kern w:val="2"/>
          <w:sz w:val="24"/>
          <w:szCs w:val="24"/>
          <w:highlight w:val="none"/>
          <w:lang w:val="en-US" w:eastAsia="zh-CN" w:bidi="ar-SA"/>
        </w:rPr>
        <w:t>。由于该饲养模式饲养密度大，对饲养环境的要求更高，这就要求环境控制系统能够实时监测鸭舍内的温度、湿度、光照强度、氨气浓度、二氧化碳浓度等关键环境参数，并自动调节通风、供暖、加湿、除湿、光照等设备。因此，本文件要求配备通风设备，风速可调，可采取纵向通风或联合通风等多种通风方式，并符合</w:t>
      </w:r>
      <w:r>
        <w:rPr>
          <w:rFonts w:hint="eastAsia" w:ascii="Times New Roman" w:hAnsi="Times New Roman" w:cs="Times New Roman" w:eastAsiaTheme="minorEastAsia"/>
          <w:color w:val="000000"/>
          <w:kern w:val="2"/>
          <w:sz w:val="24"/>
          <w:szCs w:val="24"/>
          <w:highlight w:val="none"/>
          <w:lang w:val="en-US" w:eastAsia="zh-CN" w:bidi="ar-SA"/>
        </w:rPr>
        <w:t>《NY/T 1755 畜禽舍通风系统技术规程》</w:t>
      </w:r>
      <w:r>
        <w:rPr>
          <w:rFonts w:hint="eastAsia" w:ascii="Times New Roman" w:cs="Times New Roman" w:eastAsiaTheme="minorEastAsia"/>
          <w:color w:val="000000"/>
          <w:kern w:val="2"/>
          <w:sz w:val="24"/>
          <w:szCs w:val="24"/>
          <w:highlight w:val="none"/>
          <w:lang w:val="en-US" w:eastAsia="zh-CN" w:bidi="ar-SA"/>
        </w:rPr>
        <w:t>的要求；配备湿帘降温系统等降温设备，以及暖风炉或水暖锅炉循环加温系统等供暖设备；光照系统的布局应合理设置，确保鸭舍内各个区域的光照强度一致，并能够实现光照强度的自动调节和光照时间的精准控制；此外，应该配备高清摄像头、温湿度传感器、有害气体（氨气、硫化氢等）监测传感器、光照强度传感器、智能控制终端等监控设备，以满足对鸭舍环境的全方位监测和智能化控制需求。</w:t>
      </w:r>
    </w:p>
    <w:p w14:paraId="130206B2">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b/>
          <w:bCs/>
          <w:color w:val="000000"/>
          <w:kern w:val="2"/>
          <w:sz w:val="24"/>
          <w:szCs w:val="24"/>
          <w:highlight w:val="none"/>
        </w:rPr>
      </w:pPr>
      <w:r>
        <w:rPr>
          <w:rFonts w:hint="eastAsia" w:ascii="Times New Roman" w:hAnsi="Times New Roman" w:cs="Times New Roman" w:eastAsiaTheme="minorEastAsia"/>
          <w:b/>
          <w:bCs/>
          <w:color w:val="000000"/>
          <w:kern w:val="2"/>
          <w:sz w:val="24"/>
          <w:szCs w:val="24"/>
          <w:highlight w:val="none"/>
        </w:rPr>
        <w:t>5.</w:t>
      </w:r>
      <w:r>
        <w:rPr>
          <w:rFonts w:hint="eastAsia" w:ascii="Times New Roman" w:hAnsi="Times New Roman" w:cs="Times New Roman" w:eastAsiaTheme="minorEastAsia"/>
          <w:b/>
          <w:bCs/>
          <w:color w:val="000000"/>
          <w:kern w:val="2"/>
          <w:sz w:val="24"/>
          <w:szCs w:val="24"/>
          <w:highlight w:val="none"/>
          <w:lang w:val="en-US" w:eastAsia="zh-CN"/>
        </w:rPr>
        <w:t>4</w:t>
      </w:r>
      <w:r>
        <w:rPr>
          <w:rFonts w:hint="eastAsia" w:ascii="Times New Roman" w:hAnsi="Times New Roman" w:cs="Times New Roman" w:eastAsiaTheme="minorEastAsia"/>
          <w:b/>
          <w:bCs/>
          <w:color w:val="000000"/>
          <w:kern w:val="2"/>
          <w:sz w:val="24"/>
          <w:szCs w:val="24"/>
          <w:highlight w:val="none"/>
        </w:rPr>
        <w:t>清粪系统</w:t>
      </w:r>
    </w:p>
    <w:p w14:paraId="46315A0B">
      <w:pPr>
        <w:pStyle w:val="22"/>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eastAsia" w:ascii="Times New Roman" w:cs="Times New Roman" w:eastAsiaTheme="minorEastAsia"/>
          <w:color w:val="000000"/>
          <w:kern w:val="2"/>
          <w:sz w:val="24"/>
          <w:szCs w:val="24"/>
          <w:highlight w:val="none"/>
          <w:lang w:val="en-US" w:eastAsia="zh-CN" w:bidi="ar-SA"/>
        </w:rPr>
      </w:pPr>
      <w:r>
        <w:rPr>
          <w:rFonts w:hint="eastAsia" w:ascii="Times New Roman" w:cs="Times New Roman" w:eastAsiaTheme="minorEastAsia"/>
          <w:color w:val="000000"/>
          <w:kern w:val="2"/>
          <w:sz w:val="24"/>
          <w:szCs w:val="24"/>
          <w:highlight w:val="none"/>
          <w:lang w:val="en-US" w:eastAsia="zh-CN" w:bidi="ar-SA"/>
        </w:rPr>
        <w:t>鸭粪中含有大量的有机物和微生物，如果不及时清理，很容易滋生细菌、病毒等病原体，同时，粪便堆积还会产生有害气体，如氨气、硫化氢等。因此，本文件要求配备适合层叠式笼养的一级皮带自动清粪系统和二级积粪出料装置，并确保鸭粪日产日清，清粪频次宜≥2次/日，以保障鸭群健康、提高养殖效益。</w:t>
      </w:r>
    </w:p>
    <w:p w14:paraId="5BD418EF">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b/>
          <w:bCs/>
          <w:color w:val="000000"/>
          <w:kern w:val="2"/>
          <w:sz w:val="24"/>
          <w:szCs w:val="24"/>
          <w:highlight w:val="none"/>
        </w:rPr>
      </w:pPr>
      <w:r>
        <w:rPr>
          <w:rFonts w:hint="eastAsia" w:ascii="Times New Roman" w:hAnsi="Times New Roman" w:cs="Times New Roman" w:eastAsiaTheme="minorEastAsia"/>
          <w:b/>
          <w:bCs/>
          <w:color w:val="000000"/>
          <w:kern w:val="2"/>
          <w:sz w:val="24"/>
          <w:szCs w:val="24"/>
          <w:highlight w:val="none"/>
        </w:rPr>
        <w:t>5.</w:t>
      </w:r>
      <w:r>
        <w:rPr>
          <w:rFonts w:hint="eastAsia" w:ascii="Times New Roman" w:hAnsi="Times New Roman" w:cs="Times New Roman" w:eastAsiaTheme="minorEastAsia"/>
          <w:b/>
          <w:bCs/>
          <w:color w:val="000000"/>
          <w:kern w:val="2"/>
          <w:sz w:val="24"/>
          <w:szCs w:val="24"/>
          <w:highlight w:val="none"/>
          <w:lang w:val="en-US" w:eastAsia="zh-CN"/>
        </w:rPr>
        <w:t>5</w:t>
      </w:r>
      <w:r>
        <w:rPr>
          <w:rFonts w:hint="eastAsia" w:ascii="Times New Roman" w:hAnsi="Times New Roman" w:cs="Times New Roman" w:eastAsiaTheme="minorEastAsia"/>
          <w:b/>
          <w:bCs/>
          <w:color w:val="000000"/>
          <w:kern w:val="2"/>
          <w:sz w:val="24"/>
          <w:szCs w:val="24"/>
          <w:highlight w:val="none"/>
        </w:rPr>
        <w:t>消毒设备</w:t>
      </w:r>
    </w:p>
    <w:p w14:paraId="4FC6D7C4">
      <w:pPr>
        <w:pStyle w:val="22"/>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color w:val="000000"/>
          <w:kern w:val="2"/>
          <w:sz w:val="24"/>
          <w:szCs w:val="24"/>
          <w:highlight w:val="none"/>
          <w:lang w:val="en-US" w:eastAsia="zh-CN" w:bidi="ar-SA"/>
        </w:rPr>
      </w:pPr>
      <w:r>
        <w:rPr>
          <w:rFonts w:hint="eastAsia" w:ascii="Times New Roman" w:cs="Times New Roman" w:eastAsiaTheme="minorEastAsia"/>
          <w:color w:val="000000"/>
          <w:kern w:val="2"/>
          <w:sz w:val="24"/>
          <w:szCs w:val="24"/>
          <w:highlight w:val="none"/>
          <w:lang w:val="en-US" w:eastAsia="zh-CN" w:bidi="ar-SA"/>
        </w:rPr>
        <w:t>配备多种消毒设备，可以实现对养殖环境的多角度、多层次消毒处理。这有助于构建完善的疾病防控体系，降低鸭群患病的风险，提高养殖效益。因此，本文件要求层叠式肉鸭笼养需配备消毒池、高压清洗机、紫外消毒灯、喷雾器等消毒设备。</w:t>
      </w:r>
    </w:p>
    <w:p w14:paraId="21425115">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ascii="Times New Roman" w:hAnsi="Times New Roman" w:cs="Times New Roman" w:eastAsiaTheme="minorEastAsia"/>
          <w:b/>
          <w:bCs/>
          <w:color w:val="000000"/>
          <w:sz w:val="24"/>
          <w:szCs w:val="24"/>
          <w:highlight w:val="none"/>
          <w:lang w:val="en-US" w:eastAsia="zh-CN"/>
        </w:rPr>
      </w:pPr>
      <w:r>
        <w:rPr>
          <w:rFonts w:hint="eastAsia" w:ascii="Times New Roman" w:hAnsi="Times New Roman" w:cs="Times New Roman" w:eastAsiaTheme="minorEastAsia"/>
          <w:b/>
          <w:bCs/>
          <w:color w:val="000000"/>
          <w:sz w:val="24"/>
          <w:szCs w:val="24"/>
          <w:highlight w:val="none"/>
          <w:lang w:val="en-US" w:eastAsia="zh-CN"/>
        </w:rPr>
        <w:t>6</w:t>
      </w:r>
      <w:r>
        <w:rPr>
          <w:rFonts w:hint="eastAsia" w:cs="Times New Roman" w:eastAsiaTheme="minorEastAsia"/>
          <w:b/>
          <w:bCs/>
          <w:color w:val="000000"/>
          <w:sz w:val="24"/>
          <w:szCs w:val="24"/>
          <w:highlight w:val="none"/>
          <w:lang w:val="en-US" w:eastAsia="zh-CN"/>
        </w:rPr>
        <w:t>.</w:t>
      </w:r>
      <w:r>
        <w:rPr>
          <w:rFonts w:hint="eastAsia" w:ascii="Times New Roman" w:hAnsi="Times New Roman" w:cs="Times New Roman" w:eastAsiaTheme="minorEastAsia"/>
          <w:b/>
          <w:bCs/>
          <w:color w:val="000000"/>
          <w:sz w:val="24"/>
          <w:szCs w:val="24"/>
          <w:highlight w:val="none"/>
          <w:lang w:val="en-US" w:eastAsia="zh-CN"/>
        </w:rPr>
        <w:t>品种选择与引种</w:t>
      </w:r>
    </w:p>
    <w:p w14:paraId="2572A933">
      <w:pPr>
        <w:pStyle w:val="22"/>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default" w:ascii="Times New Roman" w:hAnsi="Times New Roman" w:cs="Times New Roman" w:eastAsiaTheme="minorEastAsia"/>
          <w:b w:val="0"/>
          <w:bCs w:val="0"/>
          <w:color w:val="000000"/>
          <w:kern w:val="2"/>
          <w:sz w:val="24"/>
          <w:szCs w:val="24"/>
          <w:highlight w:val="none"/>
          <w:lang w:val="en-US" w:eastAsia="zh-CN"/>
        </w:rPr>
      </w:pPr>
      <w:r>
        <w:rPr>
          <w:rFonts w:hint="eastAsia" w:ascii="Times New Roman" w:hAnsi="Times New Roman" w:cs="Times New Roman" w:eastAsiaTheme="minorEastAsia"/>
          <w:b w:val="0"/>
          <w:bCs w:val="0"/>
          <w:color w:val="000000"/>
          <w:kern w:val="2"/>
          <w:sz w:val="24"/>
          <w:szCs w:val="24"/>
          <w:highlight w:val="none"/>
          <w:lang w:val="en-US" w:eastAsia="zh-CN"/>
        </w:rPr>
        <w:t>不同的肉鸭饲养模式需要根据肉鸭的生物学特性、养殖经济效益以及养殖管理的便利性等选择肉鸭品种</w:t>
      </w:r>
      <w:r>
        <w:rPr>
          <w:rFonts w:hint="eastAsia" w:ascii="Times New Roman" w:cs="Times New Roman" w:eastAsiaTheme="minorEastAsia"/>
          <w:b w:val="0"/>
          <w:bCs w:val="0"/>
          <w:color w:val="000000"/>
          <w:kern w:val="2"/>
          <w:sz w:val="24"/>
          <w:szCs w:val="24"/>
          <w:highlight w:val="none"/>
          <w:lang w:val="en-US" w:eastAsia="zh-CN"/>
        </w:rPr>
        <w:t>。</w:t>
      </w:r>
      <w:r>
        <w:rPr>
          <w:rFonts w:hint="eastAsia" w:ascii="Times New Roman" w:cs="Times New Roman" w:eastAsiaTheme="minorEastAsia"/>
          <w:color w:val="000000"/>
          <w:kern w:val="2"/>
          <w:sz w:val="24"/>
          <w:szCs w:val="24"/>
          <w:highlight w:val="none"/>
          <w:lang w:val="en-US" w:eastAsia="zh-CN" w:bidi="ar-SA"/>
        </w:rPr>
        <w:t>层叠式肉鸭笼养所选择的肉鸭品种主要有3个特点，即生长速度快、饲料转化率高、适应笼养环境。生长速度快的肉鸭品种能够在较短的时间内达到出栏体重，从而缩短养殖周期；饲料转化率高意味着肉鸭能够将更多的饲料转化为体重增长，从而提高养殖效益；适应笼养环境的肉鸭品种能够更好地适应笼养条件，减少因环境改变而产生的应激反应，有助于提高养殖成活率。此外，鸭苗应从取得《种畜禽生产经营许可证》和《动物防疫条件合格证》的种鸭场或孵化场引进。同一栋鸭舍的所有鸭苗应来源于同一种鸭场或孵化场相同批次的雏鸭。鸭苗的运输应符合《</w:t>
      </w:r>
      <w:r>
        <w:rPr>
          <w:rFonts w:hint="eastAsia" w:hAnsi="宋体" w:cs="宋体"/>
          <w:sz w:val="24"/>
          <w:szCs w:val="24"/>
          <w:highlight w:val="none"/>
        </w:rPr>
        <w:t xml:space="preserve">NY/T 2843 </w:t>
      </w:r>
      <w:r>
        <w:rPr>
          <w:rFonts w:hint="eastAsia" w:hAnsi="宋体" w:cs="宋体"/>
          <w:sz w:val="24"/>
          <w:szCs w:val="24"/>
          <w:highlight w:val="none"/>
          <w:lang w:val="en-US" w:eastAsia="zh-CN"/>
        </w:rPr>
        <w:t xml:space="preserve"> </w:t>
      </w:r>
      <w:r>
        <w:rPr>
          <w:rFonts w:hint="eastAsia" w:hAnsi="宋体" w:cs="宋体"/>
          <w:sz w:val="24"/>
          <w:szCs w:val="24"/>
          <w:highlight w:val="none"/>
        </w:rPr>
        <w:t>动物及动物产品运输兽医卫生规范</w:t>
      </w:r>
      <w:r>
        <w:rPr>
          <w:rFonts w:hint="eastAsia" w:ascii="Times New Roman" w:cs="Times New Roman" w:eastAsiaTheme="minorEastAsia"/>
          <w:color w:val="000000"/>
          <w:kern w:val="2"/>
          <w:sz w:val="24"/>
          <w:szCs w:val="24"/>
          <w:highlight w:val="none"/>
          <w:lang w:val="en-US" w:eastAsia="zh-CN" w:bidi="ar-SA"/>
        </w:rPr>
        <w:t>》的要求。</w:t>
      </w:r>
    </w:p>
    <w:p w14:paraId="265D5596">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7</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饲养管理</w:t>
      </w:r>
    </w:p>
    <w:p w14:paraId="5FFE4856">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b/>
          <w:bCs/>
          <w:color w:val="000000"/>
          <w:kern w:val="2"/>
          <w:sz w:val="24"/>
          <w:szCs w:val="24"/>
          <w:highlight w:val="none"/>
          <w:lang w:val="en-US" w:eastAsia="zh-CN" w:bidi="ar-SA"/>
        </w:rPr>
        <w:t>7.1育雏管理</w:t>
      </w:r>
      <w:r>
        <w:rPr>
          <w:rFonts w:hint="eastAsia" w:ascii="Times New Roman" w:hAnsi="Times New Roman" w:cs="Times New Roman" w:eastAsiaTheme="minorEastAsia"/>
          <w:color w:val="000000"/>
          <w:kern w:val="2"/>
          <w:sz w:val="24"/>
          <w:szCs w:val="24"/>
          <w:highlight w:val="none"/>
          <w:lang w:val="en-US" w:eastAsia="zh-CN" w:bidi="ar-SA"/>
        </w:rPr>
        <w:t xml:space="preserve">  </w:t>
      </w:r>
    </w:p>
    <w:p w14:paraId="38BD551B">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hAnsi="宋体" w:cs="宋体"/>
          <w:color w:val="000000"/>
          <w:sz w:val="24"/>
          <w:szCs w:val="24"/>
          <w:highlight w:val="none"/>
          <w:vertAlign w:val="baseline"/>
          <w:lang w:val="en-US" w:eastAsia="zh-CN"/>
        </w:rPr>
      </w:pPr>
      <w:r>
        <w:rPr>
          <w:rFonts w:hint="eastAsia" w:cs="Times New Roman" w:eastAsiaTheme="minorEastAsia"/>
          <w:color w:val="000000"/>
          <w:kern w:val="2"/>
          <w:sz w:val="24"/>
          <w:szCs w:val="24"/>
          <w:highlight w:val="none"/>
          <w:lang w:val="en-US" w:eastAsia="zh-CN" w:bidi="ar-SA"/>
        </w:rPr>
        <w:t xml:space="preserve"> 关于育雏，应及时掌握雏鸭的出壳、发车与具体到苗时间。在鸭苗入舍前1天将舍内温度调整至30℃左右，确保温控系统正常运转，在鸭苗入舍前2 h～3 h将舍内温度调整至31℃～32℃（1日龄肉雏鸭适宜生长温度），为雏鸭创造一个适宜而稳定的温度环境；育雏时一般选择中间层育雏，若采用3层笼养，选择第2层笼进行育雏，若采用4层笼养，选择第2、3层笼进行育雏。本项目前期研究表明，在夏季饲养条件下，育雏期饲养密度≤</w:t>
      </w:r>
      <w:r>
        <w:rPr>
          <w:rFonts w:hint="eastAsia" w:hAnsi="宋体" w:cs="宋体"/>
          <w:color w:val="000000"/>
          <w:sz w:val="24"/>
          <w:szCs w:val="24"/>
          <w:highlight w:val="none"/>
        </w:rPr>
        <w:t>42只/</w:t>
      </w:r>
      <w:r>
        <w:rPr>
          <w:rFonts w:hint="eastAsia" w:hAnsi="宋体" w:cs="宋体"/>
          <w:color w:val="000000"/>
          <w:sz w:val="24"/>
          <w:szCs w:val="24"/>
          <w:highlight w:val="none"/>
          <w:lang w:val="en-US" w:eastAsia="zh-CN"/>
        </w:rPr>
        <w:t>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（表3），考虑到春秋冬季气温较低，可以适当增加饲养密度以提高鸭舍利用率，本文件建议在育雏期，单层饲养密度为夏季36只/m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～42只/m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，春秋冬季42只/m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～48只/m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w:t>
      </w:r>
    </w:p>
    <w:p w14:paraId="6FDF6D9C">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hAnsi="宋体" w:cs="宋体"/>
          <w:color w:val="000000"/>
          <w:sz w:val="24"/>
          <w:szCs w:val="24"/>
          <w:highlight w:val="none"/>
          <w:vertAlign w:val="baseline"/>
          <w:lang w:val="en-US" w:eastAsia="zh-CN"/>
        </w:rPr>
      </w:pPr>
      <w:r>
        <w:rPr>
          <w:rStyle w:val="24"/>
          <w:sz w:val="24"/>
          <w:szCs w:val="24"/>
          <w:highlight w:val="none"/>
          <w:lang w:val="en-US" w:eastAsia="zh-CN" w:bidi="ar"/>
        </w:rPr>
        <w:t>表</w:t>
      </w:r>
      <w:r>
        <w:rPr>
          <w:rStyle w:val="24"/>
          <w:rFonts w:hint="eastAsia"/>
          <w:sz w:val="24"/>
          <w:szCs w:val="24"/>
          <w:highlight w:val="none"/>
          <w:lang w:val="en-US" w:eastAsia="zh-CN" w:bidi="ar"/>
        </w:rPr>
        <w:t>3 育雏期</w:t>
      </w:r>
      <w:r>
        <w:rPr>
          <w:rStyle w:val="24"/>
          <w:sz w:val="24"/>
          <w:szCs w:val="24"/>
          <w:highlight w:val="none"/>
          <w:lang w:val="en-US" w:eastAsia="zh-CN" w:bidi="ar"/>
        </w:rPr>
        <w:t>不同</w:t>
      </w:r>
      <w:r>
        <w:rPr>
          <w:rStyle w:val="24"/>
          <w:rFonts w:hint="eastAsia"/>
          <w:sz w:val="24"/>
          <w:szCs w:val="24"/>
          <w:highlight w:val="none"/>
          <w:lang w:val="en-US" w:eastAsia="zh-CN" w:bidi="ar"/>
        </w:rPr>
        <w:t>饲养密度肉鸭的生长情况</w:t>
      </w:r>
    </w:p>
    <w:tbl>
      <w:tblPr>
        <w:tblStyle w:val="8"/>
        <w:tblW w:w="4853" w:type="pct"/>
        <w:tblInd w:w="149" w:type="dxa"/>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19"/>
        <w:gridCol w:w="1629"/>
        <w:gridCol w:w="1478"/>
        <w:gridCol w:w="1958"/>
        <w:gridCol w:w="1687"/>
      </w:tblGrid>
      <w:tr w14:paraId="272009A1">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trPr>
        <w:tc>
          <w:tcPr>
            <w:tcW w:w="918" w:type="pct"/>
            <w:tcBorders>
              <w:bottom w:val="single" w:color="000000" w:themeColor="text1" w:sz="12" w:space="0"/>
            </w:tcBorders>
            <w:shd w:val="clear" w:color="auto" w:fill="auto"/>
            <w:tcMar>
              <w:left w:w="108" w:type="dxa"/>
              <w:right w:w="108" w:type="dxa"/>
            </w:tcMar>
            <w:vAlign w:val="center"/>
          </w:tcPr>
          <w:p w14:paraId="0C87530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饲养密度</w:t>
            </w:r>
          </w:p>
          <w:p w14:paraId="2FD9DA7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（只/m</w:t>
            </w:r>
            <w:r>
              <w:rPr>
                <w:rFonts w:hint="default" w:ascii="Times New Roman" w:hAnsi="Times New Roman" w:eastAsia="宋体" w:cs="Times New Roman"/>
                <w:b/>
                <w:bCs/>
                <w:color w:val="000000" w:themeColor="text1"/>
                <w:sz w:val="21"/>
                <w:szCs w:val="21"/>
                <w:highlight w:val="none"/>
                <w:vertAlign w:val="superscript"/>
              </w:rPr>
              <w:t>2</w:t>
            </w:r>
            <w:r>
              <w:rPr>
                <w:rFonts w:hint="default" w:ascii="Times New Roman" w:hAnsi="Times New Roman" w:eastAsia="宋体" w:cs="Times New Roman"/>
                <w:b/>
                <w:bCs/>
                <w:color w:val="000000" w:themeColor="text1"/>
                <w:sz w:val="21"/>
                <w:szCs w:val="21"/>
                <w:highlight w:val="none"/>
              </w:rPr>
              <w:t>）</w:t>
            </w:r>
          </w:p>
        </w:tc>
        <w:tc>
          <w:tcPr>
            <w:tcW w:w="984" w:type="pct"/>
            <w:tcBorders>
              <w:bottom w:val="single" w:color="000000" w:themeColor="text1" w:sz="12" w:space="0"/>
            </w:tcBorders>
            <w:shd w:val="clear" w:color="auto" w:fill="auto"/>
            <w:tcMar>
              <w:left w:w="108" w:type="dxa"/>
              <w:right w:w="108" w:type="dxa"/>
            </w:tcMar>
            <w:vAlign w:val="center"/>
          </w:tcPr>
          <w:p w14:paraId="2E70672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日增重</w:t>
            </w:r>
          </w:p>
          <w:p w14:paraId="0EFD844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(g/只/天)</w:t>
            </w:r>
          </w:p>
        </w:tc>
        <w:tc>
          <w:tcPr>
            <w:tcW w:w="893" w:type="pct"/>
            <w:tcBorders>
              <w:bottom w:val="single" w:color="000000" w:themeColor="text1" w:sz="12" w:space="0"/>
            </w:tcBorders>
            <w:shd w:val="clear" w:color="auto" w:fill="auto"/>
            <w:tcMar>
              <w:left w:w="108" w:type="dxa"/>
              <w:right w:w="108" w:type="dxa"/>
            </w:tcMar>
            <w:vAlign w:val="center"/>
          </w:tcPr>
          <w:p w14:paraId="1B4847B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采食量</w:t>
            </w:r>
          </w:p>
          <w:p w14:paraId="7FF74C7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(g/只/天)</w:t>
            </w:r>
          </w:p>
        </w:tc>
        <w:tc>
          <w:tcPr>
            <w:tcW w:w="1183" w:type="pct"/>
            <w:tcBorders>
              <w:bottom w:val="single" w:color="000000" w:themeColor="text1" w:sz="12" w:space="0"/>
            </w:tcBorders>
            <w:shd w:val="clear" w:color="auto" w:fill="auto"/>
            <w:tcMar>
              <w:left w:w="108" w:type="dxa"/>
              <w:right w:w="108" w:type="dxa"/>
            </w:tcMar>
            <w:vAlign w:val="center"/>
          </w:tcPr>
          <w:p w14:paraId="1C042BC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11日龄体重</w:t>
            </w:r>
          </w:p>
          <w:p w14:paraId="3D9DCF8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w:t>
            </w:r>
          </w:p>
        </w:tc>
        <w:tc>
          <w:tcPr>
            <w:tcW w:w="1019" w:type="pct"/>
            <w:tcBorders>
              <w:bottom w:val="single" w:color="000000" w:themeColor="text1" w:sz="12" w:space="0"/>
            </w:tcBorders>
            <w:shd w:val="clear" w:color="auto" w:fill="auto"/>
            <w:tcMar>
              <w:left w:w="108" w:type="dxa"/>
              <w:right w:w="108" w:type="dxa"/>
            </w:tcMar>
            <w:vAlign w:val="center"/>
          </w:tcPr>
          <w:p w14:paraId="0E9A637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料重比</w:t>
            </w:r>
          </w:p>
          <w:p w14:paraId="4C96B17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(g/g)</w:t>
            </w:r>
          </w:p>
        </w:tc>
      </w:tr>
      <w:tr w14:paraId="484934A0">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op w:val="single" w:color="000000" w:themeColor="text1" w:sz="12" w:space="0"/>
              <w:tl2br w:val="nil"/>
              <w:tr2bl w:val="nil"/>
            </w:tcBorders>
            <w:shd w:val="clear" w:color="auto" w:fill="auto"/>
            <w:tcMar>
              <w:left w:w="108" w:type="dxa"/>
              <w:right w:w="108" w:type="dxa"/>
            </w:tcMar>
            <w:vAlign w:val="center"/>
          </w:tcPr>
          <w:p w14:paraId="336EE17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20</w:t>
            </w:r>
          </w:p>
        </w:tc>
        <w:tc>
          <w:tcPr>
            <w:tcW w:w="984" w:type="pct"/>
            <w:tcBorders>
              <w:top w:val="single" w:color="000000" w:themeColor="text1" w:sz="12" w:space="0"/>
              <w:tl2br w:val="nil"/>
              <w:tr2bl w:val="nil"/>
            </w:tcBorders>
            <w:shd w:val="clear" w:color="auto" w:fill="auto"/>
            <w:tcMar>
              <w:left w:w="108" w:type="dxa"/>
              <w:right w:w="108" w:type="dxa"/>
            </w:tcMar>
            <w:vAlign w:val="center"/>
          </w:tcPr>
          <w:p w14:paraId="07BE104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35.2±2.0</w:t>
            </w:r>
            <w:r>
              <w:rPr>
                <w:rFonts w:hint="default" w:ascii="Times New Roman" w:hAnsi="Times New Roman" w:eastAsia="宋体" w:cs="Times New Roman"/>
                <w:color w:val="000000" w:themeColor="text1"/>
                <w:sz w:val="21"/>
                <w:szCs w:val="21"/>
                <w:highlight w:val="none"/>
                <w:vertAlign w:val="superscript"/>
              </w:rPr>
              <w:t>a</w:t>
            </w:r>
          </w:p>
        </w:tc>
        <w:tc>
          <w:tcPr>
            <w:tcW w:w="893" w:type="pct"/>
            <w:tcBorders>
              <w:top w:val="single" w:color="000000" w:themeColor="text1" w:sz="12" w:space="0"/>
              <w:tl2br w:val="nil"/>
              <w:tr2bl w:val="nil"/>
            </w:tcBorders>
            <w:shd w:val="clear" w:color="auto" w:fill="auto"/>
            <w:tcMar>
              <w:left w:w="108" w:type="dxa"/>
              <w:right w:w="108" w:type="dxa"/>
            </w:tcMar>
            <w:vAlign w:val="center"/>
          </w:tcPr>
          <w:p w14:paraId="5E117D9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43.8±1.6</w:t>
            </w:r>
          </w:p>
        </w:tc>
        <w:tc>
          <w:tcPr>
            <w:tcW w:w="1183" w:type="pct"/>
            <w:tcBorders>
              <w:top w:val="single" w:color="000000" w:themeColor="text1" w:sz="12" w:space="0"/>
              <w:tl2br w:val="nil"/>
              <w:tr2bl w:val="nil"/>
            </w:tcBorders>
            <w:shd w:val="clear" w:color="auto" w:fill="auto"/>
            <w:tcMar>
              <w:left w:w="108" w:type="dxa"/>
              <w:right w:w="108" w:type="dxa"/>
            </w:tcMar>
            <w:vAlign w:val="center"/>
          </w:tcPr>
          <w:p w14:paraId="7660642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437.7±21.9</w:t>
            </w:r>
            <w:r>
              <w:rPr>
                <w:rFonts w:hint="default" w:ascii="Times New Roman" w:hAnsi="Times New Roman" w:eastAsia="宋体" w:cs="Times New Roman"/>
                <w:color w:val="000000" w:themeColor="text1"/>
                <w:sz w:val="21"/>
                <w:szCs w:val="21"/>
                <w:highlight w:val="none"/>
                <w:vertAlign w:val="superscript"/>
              </w:rPr>
              <w:t>a</w:t>
            </w:r>
          </w:p>
        </w:tc>
        <w:tc>
          <w:tcPr>
            <w:tcW w:w="1019" w:type="pct"/>
            <w:tcBorders>
              <w:top w:val="single" w:color="000000" w:themeColor="text1" w:sz="12" w:space="0"/>
              <w:tl2br w:val="nil"/>
              <w:tr2bl w:val="nil"/>
            </w:tcBorders>
            <w:shd w:val="clear" w:color="auto" w:fill="auto"/>
            <w:tcMar>
              <w:left w:w="108" w:type="dxa"/>
              <w:right w:w="108" w:type="dxa"/>
            </w:tcMar>
            <w:vAlign w:val="center"/>
          </w:tcPr>
          <w:p w14:paraId="76FF948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1.25±0.04</w:t>
            </w:r>
            <w:r>
              <w:rPr>
                <w:rFonts w:hint="default" w:ascii="Times New Roman" w:hAnsi="Times New Roman" w:eastAsia="宋体" w:cs="Times New Roman"/>
                <w:color w:val="000000" w:themeColor="text1"/>
                <w:sz w:val="21"/>
                <w:szCs w:val="21"/>
                <w:highlight w:val="none"/>
                <w:vertAlign w:val="superscript"/>
              </w:rPr>
              <w:t>b</w:t>
            </w:r>
          </w:p>
        </w:tc>
      </w:tr>
      <w:tr w14:paraId="3B6236BD">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l2br w:val="nil"/>
              <w:tr2bl w:val="nil"/>
            </w:tcBorders>
            <w:shd w:val="clear" w:color="auto" w:fill="auto"/>
            <w:tcMar>
              <w:left w:w="108" w:type="dxa"/>
              <w:right w:w="108" w:type="dxa"/>
            </w:tcMar>
            <w:vAlign w:val="center"/>
          </w:tcPr>
          <w:p w14:paraId="29247FE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42</w:t>
            </w:r>
          </w:p>
        </w:tc>
        <w:tc>
          <w:tcPr>
            <w:tcW w:w="984" w:type="pct"/>
            <w:tcBorders>
              <w:tl2br w:val="nil"/>
              <w:tr2bl w:val="nil"/>
            </w:tcBorders>
            <w:shd w:val="clear" w:color="auto" w:fill="auto"/>
            <w:tcMar>
              <w:left w:w="108" w:type="dxa"/>
              <w:right w:w="108" w:type="dxa"/>
            </w:tcMar>
            <w:vAlign w:val="center"/>
          </w:tcPr>
          <w:p w14:paraId="32ED772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34.2±1.1</w:t>
            </w:r>
            <w:r>
              <w:rPr>
                <w:rFonts w:hint="default" w:ascii="Times New Roman" w:hAnsi="Times New Roman" w:eastAsia="宋体" w:cs="Times New Roman"/>
                <w:color w:val="000000" w:themeColor="text1"/>
                <w:sz w:val="21"/>
                <w:szCs w:val="21"/>
                <w:highlight w:val="none"/>
                <w:vertAlign w:val="superscript"/>
              </w:rPr>
              <w:t>a</w:t>
            </w:r>
          </w:p>
        </w:tc>
        <w:tc>
          <w:tcPr>
            <w:tcW w:w="893" w:type="pct"/>
            <w:tcBorders>
              <w:tl2br w:val="nil"/>
              <w:tr2bl w:val="nil"/>
            </w:tcBorders>
            <w:shd w:val="clear" w:color="auto" w:fill="auto"/>
            <w:tcMar>
              <w:left w:w="108" w:type="dxa"/>
              <w:right w:w="108" w:type="dxa"/>
            </w:tcMar>
            <w:vAlign w:val="center"/>
          </w:tcPr>
          <w:p w14:paraId="7385501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44.4±1.9</w:t>
            </w:r>
          </w:p>
        </w:tc>
        <w:tc>
          <w:tcPr>
            <w:tcW w:w="1183" w:type="pct"/>
            <w:tcBorders>
              <w:tl2br w:val="nil"/>
              <w:tr2bl w:val="nil"/>
            </w:tcBorders>
            <w:shd w:val="clear" w:color="auto" w:fill="auto"/>
            <w:tcMar>
              <w:left w:w="108" w:type="dxa"/>
              <w:right w:w="108" w:type="dxa"/>
            </w:tcMar>
            <w:vAlign w:val="center"/>
          </w:tcPr>
          <w:p w14:paraId="69A4ECA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427.9±12.2</w:t>
            </w:r>
            <w:r>
              <w:rPr>
                <w:rFonts w:hint="default" w:ascii="Times New Roman" w:hAnsi="Times New Roman" w:eastAsia="宋体" w:cs="Times New Roman"/>
                <w:color w:val="000000" w:themeColor="text1"/>
                <w:sz w:val="21"/>
                <w:szCs w:val="21"/>
                <w:highlight w:val="none"/>
                <w:vertAlign w:val="superscript"/>
              </w:rPr>
              <w:t>a</w:t>
            </w:r>
          </w:p>
        </w:tc>
        <w:tc>
          <w:tcPr>
            <w:tcW w:w="1019" w:type="pct"/>
            <w:tcBorders>
              <w:tl2br w:val="nil"/>
              <w:tr2bl w:val="nil"/>
            </w:tcBorders>
            <w:shd w:val="clear" w:color="auto" w:fill="auto"/>
            <w:tcMar>
              <w:left w:w="108" w:type="dxa"/>
              <w:right w:w="108" w:type="dxa"/>
            </w:tcMar>
            <w:vAlign w:val="center"/>
          </w:tcPr>
          <w:p w14:paraId="2D02E45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1.30±0.02</w:t>
            </w:r>
            <w:r>
              <w:rPr>
                <w:rFonts w:hint="default" w:ascii="Times New Roman" w:hAnsi="Times New Roman" w:eastAsia="宋体" w:cs="Times New Roman"/>
                <w:color w:val="000000" w:themeColor="text1"/>
                <w:sz w:val="21"/>
                <w:szCs w:val="21"/>
                <w:highlight w:val="none"/>
                <w:vertAlign w:val="superscript"/>
              </w:rPr>
              <w:t>ab</w:t>
            </w:r>
          </w:p>
        </w:tc>
      </w:tr>
      <w:tr w14:paraId="02CB9EA5">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l2br w:val="nil"/>
              <w:tr2bl w:val="nil"/>
            </w:tcBorders>
            <w:shd w:val="clear" w:color="auto" w:fill="auto"/>
            <w:tcMar>
              <w:left w:w="108" w:type="dxa"/>
              <w:right w:w="108" w:type="dxa"/>
            </w:tcMar>
            <w:vAlign w:val="center"/>
          </w:tcPr>
          <w:p w14:paraId="1B60AD3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45</w:t>
            </w:r>
          </w:p>
        </w:tc>
        <w:tc>
          <w:tcPr>
            <w:tcW w:w="984" w:type="pct"/>
            <w:tcBorders>
              <w:tl2br w:val="nil"/>
              <w:tr2bl w:val="nil"/>
            </w:tcBorders>
            <w:shd w:val="clear" w:color="auto" w:fill="auto"/>
            <w:tcMar>
              <w:left w:w="108" w:type="dxa"/>
              <w:right w:w="108" w:type="dxa"/>
            </w:tcMar>
            <w:vAlign w:val="center"/>
          </w:tcPr>
          <w:p w14:paraId="160295D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33.4±2.0</w:t>
            </w:r>
            <w:r>
              <w:rPr>
                <w:rFonts w:hint="default" w:ascii="Times New Roman" w:hAnsi="Times New Roman" w:eastAsia="宋体" w:cs="Times New Roman"/>
                <w:color w:val="000000" w:themeColor="text1"/>
                <w:sz w:val="21"/>
                <w:szCs w:val="21"/>
                <w:highlight w:val="none"/>
                <w:vertAlign w:val="superscript"/>
              </w:rPr>
              <w:t>ab</w:t>
            </w:r>
          </w:p>
        </w:tc>
        <w:tc>
          <w:tcPr>
            <w:tcW w:w="893" w:type="pct"/>
            <w:tcBorders>
              <w:tl2br w:val="nil"/>
              <w:tr2bl w:val="nil"/>
            </w:tcBorders>
            <w:shd w:val="clear" w:color="auto" w:fill="auto"/>
            <w:tcMar>
              <w:left w:w="108" w:type="dxa"/>
              <w:right w:w="108" w:type="dxa"/>
            </w:tcMar>
            <w:vAlign w:val="center"/>
          </w:tcPr>
          <w:p w14:paraId="7EA8874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44.0±1.6</w:t>
            </w:r>
          </w:p>
        </w:tc>
        <w:tc>
          <w:tcPr>
            <w:tcW w:w="1183" w:type="pct"/>
            <w:tcBorders>
              <w:tl2br w:val="nil"/>
              <w:tr2bl w:val="nil"/>
            </w:tcBorders>
            <w:shd w:val="clear" w:color="auto" w:fill="auto"/>
            <w:tcMar>
              <w:left w:w="108" w:type="dxa"/>
              <w:right w:w="108" w:type="dxa"/>
            </w:tcMar>
            <w:vAlign w:val="center"/>
          </w:tcPr>
          <w:p w14:paraId="3893D89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419.2±22.6</w:t>
            </w:r>
            <w:r>
              <w:rPr>
                <w:rFonts w:hint="default" w:ascii="Times New Roman" w:hAnsi="Times New Roman" w:eastAsia="宋体" w:cs="Times New Roman"/>
                <w:color w:val="000000" w:themeColor="text1"/>
                <w:sz w:val="21"/>
                <w:szCs w:val="21"/>
                <w:highlight w:val="none"/>
                <w:vertAlign w:val="superscript"/>
              </w:rPr>
              <w:t>ab</w:t>
            </w:r>
          </w:p>
        </w:tc>
        <w:tc>
          <w:tcPr>
            <w:tcW w:w="1019" w:type="pct"/>
            <w:tcBorders>
              <w:tl2br w:val="nil"/>
              <w:tr2bl w:val="nil"/>
            </w:tcBorders>
            <w:shd w:val="clear" w:color="auto" w:fill="auto"/>
            <w:tcMar>
              <w:left w:w="108" w:type="dxa"/>
              <w:right w:w="108" w:type="dxa"/>
            </w:tcMar>
            <w:vAlign w:val="center"/>
          </w:tcPr>
          <w:p w14:paraId="0E2D9D5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1.32±0.06</w:t>
            </w:r>
            <w:r>
              <w:rPr>
                <w:rFonts w:hint="default" w:ascii="Times New Roman" w:hAnsi="Times New Roman" w:eastAsia="宋体" w:cs="Times New Roman"/>
                <w:color w:val="000000" w:themeColor="text1"/>
                <w:sz w:val="21"/>
                <w:szCs w:val="21"/>
                <w:highlight w:val="none"/>
                <w:vertAlign w:val="superscript"/>
              </w:rPr>
              <w:t>a</w:t>
            </w:r>
          </w:p>
        </w:tc>
      </w:tr>
      <w:tr w14:paraId="2343BF11">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l2br w:val="nil"/>
              <w:tr2bl w:val="nil"/>
            </w:tcBorders>
            <w:shd w:val="clear" w:color="auto" w:fill="auto"/>
            <w:tcMar>
              <w:left w:w="108" w:type="dxa"/>
              <w:right w:w="108" w:type="dxa"/>
            </w:tcMar>
            <w:vAlign w:val="center"/>
          </w:tcPr>
          <w:p w14:paraId="1AC7E88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48</w:t>
            </w:r>
          </w:p>
        </w:tc>
        <w:tc>
          <w:tcPr>
            <w:tcW w:w="984" w:type="pct"/>
            <w:tcBorders>
              <w:tl2br w:val="nil"/>
              <w:tr2bl w:val="nil"/>
            </w:tcBorders>
            <w:shd w:val="clear" w:color="auto" w:fill="auto"/>
            <w:tcMar>
              <w:left w:w="108" w:type="dxa"/>
              <w:right w:w="108" w:type="dxa"/>
            </w:tcMar>
            <w:vAlign w:val="center"/>
          </w:tcPr>
          <w:p w14:paraId="67B91BC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33.4±1.1</w:t>
            </w:r>
            <w:r>
              <w:rPr>
                <w:rFonts w:hint="default" w:ascii="Times New Roman" w:hAnsi="Times New Roman" w:eastAsia="宋体" w:cs="Times New Roman"/>
                <w:color w:val="000000" w:themeColor="text1"/>
                <w:sz w:val="21"/>
                <w:szCs w:val="21"/>
                <w:highlight w:val="none"/>
                <w:vertAlign w:val="superscript"/>
              </w:rPr>
              <w:t>ab</w:t>
            </w:r>
          </w:p>
        </w:tc>
        <w:tc>
          <w:tcPr>
            <w:tcW w:w="893" w:type="pct"/>
            <w:tcBorders>
              <w:tl2br w:val="nil"/>
              <w:tr2bl w:val="nil"/>
            </w:tcBorders>
            <w:shd w:val="clear" w:color="auto" w:fill="auto"/>
            <w:tcMar>
              <w:left w:w="108" w:type="dxa"/>
              <w:right w:w="108" w:type="dxa"/>
            </w:tcMar>
            <w:vAlign w:val="center"/>
          </w:tcPr>
          <w:p w14:paraId="0568935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43.8±1.7</w:t>
            </w:r>
          </w:p>
        </w:tc>
        <w:tc>
          <w:tcPr>
            <w:tcW w:w="1183" w:type="pct"/>
            <w:tcBorders>
              <w:tl2br w:val="nil"/>
              <w:tr2bl w:val="nil"/>
            </w:tcBorders>
            <w:shd w:val="clear" w:color="auto" w:fill="auto"/>
            <w:tcMar>
              <w:left w:w="108" w:type="dxa"/>
              <w:right w:w="108" w:type="dxa"/>
            </w:tcMar>
            <w:vAlign w:val="center"/>
          </w:tcPr>
          <w:p w14:paraId="08D9D8D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420.1±12.1</w:t>
            </w:r>
            <w:r>
              <w:rPr>
                <w:rFonts w:hint="default" w:ascii="Times New Roman" w:hAnsi="Times New Roman" w:eastAsia="宋体" w:cs="Times New Roman"/>
                <w:color w:val="000000" w:themeColor="text1"/>
                <w:sz w:val="21"/>
                <w:szCs w:val="21"/>
                <w:highlight w:val="none"/>
                <w:vertAlign w:val="superscript"/>
              </w:rPr>
              <w:t>ab</w:t>
            </w:r>
          </w:p>
        </w:tc>
        <w:tc>
          <w:tcPr>
            <w:tcW w:w="1019" w:type="pct"/>
            <w:tcBorders>
              <w:tl2br w:val="nil"/>
              <w:tr2bl w:val="nil"/>
            </w:tcBorders>
            <w:shd w:val="clear" w:color="auto" w:fill="auto"/>
            <w:tcMar>
              <w:left w:w="108" w:type="dxa"/>
              <w:right w:w="108" w:type="dxa"/>
            </w:tcMar>
            <w:vAlign w:val="center"/>
          </w:tcPr>
          <w:p w14:paraId="31AC060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1.32±0.03</w:t>
            </w:r>
            <w:r>
              <w:rPr>
                <w:rFonts w:hint="default" w:ascii="Times New Roman" w:hAnsi="Times New Roman" w:eastAsia="宋体" w:cs="Times New Roman"/>
                <w:color w:val="000000" w:themeColor="text1"/>
                <w:sz w:val="21"/>
                <w:szCs w:val="21"/>
                <w:highlight w:val="none"/>
                <w:vertAlign w:val="superscript"/>
              </w:rPr>
              <w:t>a</w:t>
            </w:r>
          </w:p>
        </w:tc>
      </w:tr>
      <w:tr w14:paraId="2692A452">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l2br w:val="nil"/>
              <w:tr2bl w:val="nil"/>
            </w:tcBorders>
            <w:shd w:val="clear" w:color="auto" w:fill="auto"/>
            <w:tcMar>
              <w:left w:w="108" w:type="dxa"/>
              <w:right w:w="108" w:type="dxa"/>
            </w:tcMar>
            <w:vAlign w:val="center"/>
          </w:tcPr>
          <w:p w14:paraId="01B668F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51</w:t>
            </w:r>
          </w:p>
        </w:tc>
        <w:tc>
          <w:tcPr>
            <w:tcW w:w="984" w:type="pct"/>
            <w:tcBorders>
              <w:tl2br w:val="nil"/>
              <w:tr2bl w:val="nil"/>
            </w:tcBorders>
            <w:shd w:val="clear" w:color="auto" w:fill="auto"/>
            <w:tcMar>
              <w:left w:w="108" w:type="dxa"/>
              <w:right w:w="108" w:type="dxa"/>
            </w:tcMar>
            <w:vAlign w:val="center"/>
          </w:tcPr>
          <w:p w14:paraId="191EB18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33.2±0.5</w:t>
            </w:r>
            <w:r>
              <w:rPr>
                <w:rFonts w:hint="default" w:ascii="Times New Roman" w:hAnsi="Times New Roman" w:eastAsia="宋体" w:cs="Times New Roman"/>
                <w:color w:val="000000" w:themeColor="text1"/>
                <w:sz w:val="21"/>
                <w:szCs w:val="21"/>
                <w:highlight w:val="none"/>
                <w:vertAlign w:val="superscript"/>
              </w:rPr>
              <w:t>ab</w:t>
            </w:r>
          </w:p>
        </w:tc>
        <w:tc>
          <w:tcPr>
            <w:tcW w:w="893" w:type="pct"/>
            <w:tcBorders>
              <w:tl2br w:val="nil"/>
              <w:tr2bl w:val="nil"/>
            </w:tcBorders>
            <w:shd w:val="clear" w:color="auto" w:fill="auto"/>
            <w:tcMar>
              <w:left w:w="108" w:type="dxa"/>
              <w:right w:w="108" w:type="dxa"/>
            </w:tcMar>
            <w:vAlign w:val="center"/>
          </w:tcPr>
          <w:p w14:paraId="148B6C3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43.4±1.0</w:t>
            </w:r>
          </w:p>
        </w:tc>
        <w:tc>
          <w:tcPr>
            <w:tcW w:w="1183" w:type="pct"/>
            <w:tcBorders>
              <w:tl2br w:val="nil"/>
              <w:tr2bl w:val="nil"/>
            </w:tcBorders>
            <w:shd w:val="clear" w:color="auto" w:fill="auto"/>
            <w:tcMar>
              <w:left w:w="108" w:type="dxa"/>
              <w:right w:w="108" w:type="dxa"/>
            </w:tcMar>
            <w:vAlign w:val="center"/>
          </w:tcPr>
          <w:p w14:paraId="2CA6834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417.2±6.0</w:t>
            </w:r>
            <w:r>
              <w:rPr>
                <w:rFonts w:hint="default" w:ascii="Times New Roman" w:hAnsi="Times New Roman" w:eastAsia="宋体" w:cs="Times New Roman"/>
                <w:color w:val="000000" w:themeColor="text1"/>
                <w:sz w:val="21"/>
                <w:szCs w:val="21"/>
                <w:highlight w:val="none"/>
                <w:vertAlign w:val="superscript"/>
              </w:rPr>
              <w:t>ab</w:t>
            </w:r>
          </w:p>
        </w:tc>
        <w:tc>
          <w:tcPr>
            <w:tcW w:w="1019" w:type="pct"/>
            <w:tcBorders>
              <w:tl2br w:val="nil"/>
              <w:tr2bl w:val="nil"/>
            </w:tcBorders>
            <w:shd w:val="clear" w:color="auto" w:fill="auto"/>
            <w:tcMar>
              <w:left w:w="108" w:type="dxa"/>
              <w:right w:w="108" w:type="dxa"/>
            </w:tcMar>
            <w:vAlign w:val="center"/>
          </w:tcPr>
          <w:p w14:paraId="6B8723A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1.31±0.03</w:t>
            </w:r>
            <w:r>
              <w:rPr>
                <w:rFonts w:hint="default" w:ascii="Times New Roman" w:hAnsi="Times New Roman" w:eastAsia="宋体" w:cs="Times New Roman"/>
                <w:color w:val="000000" w:themeColor="text1"/>
                <w:sz w:val="21"/>
                <w:szCs w:val="21"/>
                <w:highlight w:val="none"/>
                <w:vertAlign w:val="superscript"/>
              </w:rPr>
              <w:t>a</w:t>
            </w:r>
          </w:p>
        </w:tc>
      </w:tr>
      <w:tr w14:paraId="19FD697A">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918" w:type="pct"/>
            <w:tcBorders>
              <w:tl2br w:val="nil"/>
              <w:tr2bl w:val="nil"/>
            </w:tcBorders>
            <w:shd w:val="clear" w:color="auto" w:fill="auto"/>
            <w:tcMar>
              <w:left w:w="108" w:type="dxa"/>
              <w:right w:w="108" w:type="dxa"/>
            </w:tcMar>
            <w:vAlign w:val="center"/>
          </w:tcPr>
          <w:p w14:paraId="16B00B4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64</w:t>
            </w:r>
          </w:p>
        </w:tc>
        <w:tc>
          <w:tcPr>
            <w:tcW w:w="984" w:type="pct"/>
            <w:tcBorders>
              <w:tl2br w:val="nil"/>
              <w:tr2bl w:val="nil"/>
            </w:tcBorders>
            <w:shd w:val="clear" w:color="auto" w:fill="auto"/>
            <w:tcMar>
              <w:left w:w="108" w:type="dxa"/>
              <w:right w:w="108" w:type="dxa"/>
            </w:tcMar>
            <w:vAlign w:val="center"/>
          </w:tcPr>
          <w:p w14:paraId="18F7916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31.7±0.7</w:t>
            </w:r>
            <w:r>
              <w:rPr>
                <w:rFonts w:hint="default" w:ascii="Times New Roman" w:hAnsi="Times New Roman" w:eastAsia="宋体" w:cs="Times New Roman"/>
                <w:color w:val="000000" w:themeColor="text1"/>
                <w:sz w:val="21"/>
                <w:szCs w:val="21"/>
                <w:highlight w:val="none"/>
                <w:vertAlign w:val="superscript"/>
              </w:rPr>
              <w:t>b</w:t>
            </w:r>
          </w:p>
        </w:tc>
        <w:tc>
          <w:tcPr>
            <w:tcW w:w="893" w:type="pct"/>
            <w:tcBorders>
              <w:tl2br w:val="nil"/>
              <w:tr2bl w:val="nil"/>
            </w:tcBorders>
            <w:shd w:val="clear" w:color="auto" w:fill="auto"/>
            <w:tcMar>
              <w:left w:w="108" w:type="dxa"/>
              <w:right w:w="108" w:type="dxa"/>
            </w:tcMar>
            <w:vAlign w:val="center"/>
          </w:tcPr>
          <w:p w14:paraId="51BEC12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42.5±0.9</w:t>
            </w:r>
          </w:p>
        </w:tc>
        <w:tc>
          <w:tcPr>
            <w:tcW w:w="1183" w:type="pct"/>
            <w:tcBorders>
              <w:tl2br w:val="nil"/>
              <w:tr2bl w:val="nil"/>
            </w:tcBorders>
            <w:shd w:val="clear" w:color="auto" w:fill="auto"/>
            <w:tcMar>
              <w:left w:w="108" w:type="dxa"/>
              <w:right w:w="108" w:type="dxa"/>
            </w:tcMar>
            <w:vAlign w:val="center"/>
          </w:tcPr>
          <w:p w14:paraId="3692058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401.0±7.3</w:t>
            </w:r>
            <w:r>
              <w:rPr>
                <w:rFonts w:hint="default" w:ascii="Times New Roman" w:hAnsi="Times New Roman" w:eastAsia="宋体" w:cs="Times New Roman"/>
                <w:color w:val="000000" w:themeColor="text1"/>
                <w:sz w:val="21"/>
                <w:szCs w:val="21"/>
                <w:highlight w:val="none"/>
                <w:vertAlign w:val="superscript"/>
              </w:rPr>
              <w:t>b</w:t>
            </w:r>
          </w:p>
        </w:tc>
        <w:tc>
          <w:tcPr>
            <w:tcW w:w="1019" w:type="pct"/>
            <w:tcBorders>
              <w:tl2br w:val="nil"/>
              <w:tr2bl w:val="nil"/>
            </w:tcBorders>
            <w:shd w:val="clear" w:color="auto" w:fill="auto"/>
            <w:tcMar>
              <w:left w:w="108" w:type="dxa"/>
              <w:right w:w="108" w:type="dxa"/>
            </w:tcMar>
            <w:vAlign w:val="center"/>
          </w:tcPr>
          <w:p w14:paraId="680B856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color w:val="000000" w:themeColor="text1"/>
                <w:sz w:val="21"/>
                <w:szCs w:val="21"/>
                <w:highlight w:val="none"/>
              </w:rPr>
            </w:pPr>
            <w:r>
              <w:rPr>
                <w:rFonts w:hint="default" w:ascii="Times New Roman" w:hAnsi="Times New Roman" w:eastAsia="宋体" w:cs="Times New Roman"/>
                <w:color w:val="000000" w:themeColor="text1"/>
                <w:sz w:val="21"/>
                <w:szCs w:val="21"/>
                <w:highlight w:val="none"/>
              </w:rPr>
              <w:t>1.34±0.03</w:t>
            </w:r>
            <w:r>
              <w:rPr>
                <w:rFonts w:hint="default" w:ascii="Times New Roman" w:hAnsi="Times New Roman" w:eastAsia="宋体" w:cs="Times New Roman"/>
                <w:color w:val="000000" w:themeColor="text1"/>
                <w:sz w:val="21"/>
                <w:szCs w:val="21"/>
                <w:highlight w:val="none"/>
                <w:vertAlign w:val="superscript"/>
              </w:rPr>
              <w:t>a</w:t>
            </w:r>
          </w:p>
        </w:tc>
      </w:tr>
    </w:tbl>
    <w:p w14:paraId="1B91FD8F">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kern w:val="2"/>
          <w:sz w:val="24"/>
          <w:szCs w:val="24"/>
          <w:highlight w:val="none"/>
          <w:lang w:val="en-US" w:eastAsia="zh-CN" w:bidi="ar-SA"/>
        </w:rPr>
      </w:pPr>
      <w:r>
        <w:rPr>
          <w:rFonts w:hint="eastAsia" w:cs="Times New Roman" w:eastAsiaTheme="minorEastAsia"/>
          <w:b/>
          <w:bCs/>
          <w:color w:val="000000"/>
          <w:kern w:val="2"/>
          <w:sz w:val="24"/>
          <w:szCs w:val="24"/>
          <w:highlight w:val="none"/>
          <w:lang w:val="en-US" w:eastAsia="zh-CN" w:bidi="ar-SA"/>
        </w:rPr>
        <w:t>7.2分群管理</w:t>
      </w:r>
    </w:p>
    <w:p w14:paraId="18D816DA">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color w:val="000000"/>
          <w:kern w:val="2"/>
          <w:sz w:val="24"/>
          <w:szCs w:val="24"/>
          <w:highlight w:val="none"/>
          <w:lang w:val="en-US" w:eastAsia="zh-CN" w:bidi="ar-SA"/>
        </w:rPr>
      </w:pPr>
      <w:r>
        <w:rPr>
          <w:rFonts w:hint="eastAsia" w:cs="Times New Roman" w:eastAsiaTheme="minorEastAsia"/>
          <w:color w:val="000000"/>
          <w:kern w:val="2"/>
          <w:sz w:val="24"/>
          <w:szCs w:val="24"/>
          <w:highlight w:val="none"/>
          <w:lang w:val="en-US" w:eastAsia="zh-CN" w:bidi="ar-SA"/>
        </w:rPr>
        <w:t>肉鸭在不同生长阶段对空间和管理的需求不同，分群饲养可以更好地满足这些需求，提高养殖效率。因此，在7日龄左右，应根据雏鸭的大小、强弱等因素，一次完成分群，分群时宜抓鸭的颈部、轻拿轻放，鉴于顶层通风情况等更为良好，建议顶层宜较中间或底层鸭笼多放1只肉鸭。</w:t>
      </w:r>
    </w:p>
    <w:p w14:paraId="14048B25">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hAnsi="宋体" w:cs="宋体"/>
          <w:color w:val="000000"/>
          <w:sz w:val="24"/>
          <w:szCs w:val="24"/>
          <w:highlight w:val="none"/>
          <w:vertAlign w:val="baseline"/>
          <w:lang w:val="en-US" w:eastAsia="zh-CN"/>
        </w:rPr>
      </w:pPr>
      <w:r>
        <w:rPr>
          <w:rFonts w:hint="eastAsia" w:cs="Times New Roman" w:eastAsiaTheme="minorEastAsia"/>
          <w:color w:val="000000"/>
          <w:kern w:val="2"/>
          <w:sz w:val="24"/>
          <w:szCs w:val="24"/>
          <w:highlight w:val="none"/>
          <w:lang w:val="en-US" w:eastAsia="zh-CN" w:bidi="ar-SA"/>
        </w:rPr>
        <w:t>饲养密度的高低直接影响生产效益，过高的饲养密度会导致鸭只之间的互相碰撞和踩踏，可能导致采食不均，部分鸭只无法获得足够的营养，从而降低饲料转化率；低密度饲养条件下，鸭只拥有足够的活动空间和资源，能够自由采食和饮水，从而提高饲料转化率，但是饲养密度过低容易导致总体生产效益下降。本项目前期研究表明，在夏季饲养条件下，</w:t>
      </w:r>
      <w:r>
        <w:rPr>
          <w:rFonts w:hint="eastAsia" w:hAnsi="宋体" w:cs="宋体"/>
          <w:color w:val="000000"/>
          <w:sz w:val="24"/>
          <w:szCs w:val="24"/>
          <w:highlight w:val="none"/>
          <w:vertAlign w:val="baseline"/>
          <w:lang w:val="en-US" w:eastAsia="zh-CN"/>
        </w:rPr>
        <w:t>育肥期饲养密度≤14</w:t>
      </w:r>
      <w:r>
        <w:rPr>
          <w:rFonts w:hint="eastAsia" w:hAnsi="宋体" w:cs="宋体"/>
          <w:color w:val="000000"/>
          <w:sz w:val="24"/>
          <w:szCs w:val="24"/>
          <w:highlight w:val="none"/>
        </w:rPr>
        <w:t>只/</w:t>
      </w:r>
      <w:r>
        <w:rPr>
          <w:rFonts w:hint="eastAsia" w:hAnsi="宋体" w:cs="宋体"/>
          <w:color w:val="000000"/>
          <w:sz w:val="24"/>
          <w:szCs w:val="24"/>
          <w:highlight w:val="none"/>
          <w:lang w:val="en-US" w:eastAsia="zh-CN"/>
        </w:rPr>
        <w:t>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的条件下生长性能较好（表4），考虑到春秋冬季气温较低，可以适当增加饲养密度以提高鸭舍利用率，本文件建议分群后至出栏期间，单层饲养密度为夏季饲养密度12只/m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～14只/m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，春秋冬季14只/m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～16只/m</w:t>
      </w:r>
      <w:r>
        <w:rPr>
          <w:rFonts w:hint="eastAsia" w:hAnsi="宋体" w:cs="宋体"/>
          <w:color w:val="000000"/>
          <w:sz w:val="24"/>
          <w:szCs w:val="24"/>
          <w:highlight w:val="none"/>
          <w:vertAlign w:val="superscript"/>
          <w:lang w:val="en-US" w:eastAsia="zh-CN"/>
        </w:rPr>
        <w:t>2</w:t>
      </w:r>
      <w:r>
        <w:rPr>
          <w:rFonts w:hint="eastAsia" w:hAnsi="宋体" w:cs="宋体"/>
          <w:color w:val="000000"/>
          <w:sz w:val="24"/>
          <w:szCs w:val="24"/>
          <w:highlight w:val="none"/>
          <w:vertAlign w:val="baseline"/>
          <w:lang w:val="en-US" w:eastAsia="zh-CN"/>
        </w:rPr>
        <w:t>。</w:t>
      </w:r>
    </w:p>
    <w:p w14:paraId="6B03C9D7">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hAnsi="宋体" w:cs="宋体"/>
          <w:color w:val="000000"/>
          <w:sz w:val="24"/>
          <w:szCs w:val="24"/>
          <w:highlight w:val="none"/>
          <w:vertAlign w:val="baseline"/>
          <w:lang w:val="en-US" w:eastAsia="zh-CN"/>
        </w:rPr>
      </w:pPr>
    </w:p>
    <w:p w14:paraId="118C2A9B">
      <w:pPr>
        <w:pStyle w:val="18"/>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s="Times New Roman" w:eastAsiaTheme="minorEastAsia"/>
          <w:color w:val="000000"/>
          <w:kern w:val="2"/>
          <w:sz w:val="24"/>
          <w:szCs w:val="24"/>
          <w:highlight w:val="none"/>
          <w:lang w:val="en-US" w:eastAsia="zh-CN" w:bidi="ar-SA"/>
        </w:rPr>
      </w:pPr>
      <w:r>
        <w:rPr>
          <w:rStyle w:val="24"/>
          <w:sz w:val="24"/>
          <w:szCs w:val="24"/>
          <w:highlight w:val="none"/>
          <w:lang w:val="en-US" w:eastAsia="zh-CN" w:bidi="ar"/>
        </w:rPr>
        <w:t>表</w:t>
      </w:r>
      <w:r>
        <w:rPr>
          <w:rStyle w:val="24"/>
          <w:rFonts w:hint="eastAsia"/>
          <w:sz w:val="24"/>
          <w:szCs w:val="24"/>
          <w:highlight w:val="none"/>
          <w:lang w:val="en-US" w:eastAsia="zh-CN" w:bidi="ar"/>
        </w:rPr>
        <w:t>4 育肥期</w:t>
      </w:r>
      <w:r>
        <w:rPr>
          <w:rStyle w:val="24"/>
          <w:sz w:val="24"/>
          <w:szCs w:val="24"/>
          <w:highlight w:val="none"/>
          <w:lang w:val="en-US" w:eastAsia="zh-CN" w:bidi="ar"/>
        </w:rPr>
        <w:t>不同</w:t>
      </w:r>
      <w:r>
        <w:rPr>
          <w:rStyle w:val="24"/>
          <w:rFonts w:hint="eastAsia"/>
          <w:sz w:val="24"/>
          <w:szCs w:val="24"/>
          <w:highlight w:val="none"/>
          <w:lang w:val="en-US" w:eastAsia="zh-CN" w:bidi="ar"/>
        </w:rPr>
        <w:t>饲养密度肉鸭的生长情况</w:t>
      </w:r>
    </w:p>
    <w:tbl>
      <w:tblPr>
        <w:tblStyle w:val="8"/>
        <w:tblW w:w="4998" w:type="pct"/>
        <w:tblInd w:w="0" w:type="dxa"/>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029"/>
        <w:gridCol w:w="1040"/>
        <w:gridCol w:w="1207"/>
        <w:gridCol w:w="1421"/>
        <w:gridCol w:w="1089"/>
        <w:gridCol w:w="839"/>
        <w:gridCol w:w="839"/>
        <w:gridCol w:w="839"/>
      </w:tblGrid>
      <w:tr w14:paraId="38F6EC1B">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60" w:hRule="atLeast"/>
        </w:trPr>
        <w:tc>
          <w:tcPr>
            <w:tcW w:w="619" w:type="pct"/>
            <w:tcBorders>
              <w:bottom w:val="single" w:color="000000" w:themeColor="text1" w:sz="12" w:space="0"/>
            </w:tcBorders>
            <w:shd w:val="clear" w:color="auto" w:fill="auto"/>
            <w:vAlign w:val="center"/>
          </w:tcPr>
          <w:p w14:paraId="77F1942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饲养密度</w:t>
            </w:r>
          </w:p>
          <w:p w14:paraId="33B1FE6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（只/m2）</w:t>
            </w:r>
          </w:p>
        </w:tc>
        <w:tc>
          <w:tcPr>
            <w:tcW w:w="626" w:type="pct"/>
            <w:tcBorders>
              <w:bottom w:val="single" w:color="000000" w:themeColor="text1" w:sz="12" w:space="0"/>
            </w:tcBorders>
            <w:shd w:val="clear" w:color="auto" w:fill="auto"/>
            <w:vAlign w:val="center"/>
          </w:tcPr>
          <w:p w14:paraId="18CA043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日增重</w:t>
            </w:r>
          </w:p>
          <w:p w14:paraId="210891E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(g/只/天)</w:t>
            </w:r>
          </w:p>
        </w:tc>
        <w:tc>
          <w:tcPr>
            <w:tcW w:w="726" w:type="pct"/>
            <w:tcBorders>
              <w:bottom w:val="single" w:color="000000" w:themeColor="text1" w:sz="12" w:space="0"/>
            </w:tcBorders>
            <w:shd w:val="clear" w:color="auto" w:fill="auto"/>
            <w:vAlign w:val="center"/>
          </w:tcPr>
          <w:p w14:paraId="37C7FAA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采食量</w:t>
            </w:r>
          </w:p>
          <w:p w14:paraId="149BB59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(g/只/天)</w:t>
            </w:r>
          </w:p>
        </w:tc>
        <w:tc>
          <w:tcPr>
            <w:tcW w:w="855" w:type="pct"/>
            <w:tcBorders>
              <w:bottom w:val="single" w:color="000000" w:themeColor="text1" w:sz="12" w:space="0"/>
            </w:tcBorders>
            <w:shd w:val="clear" w:color="auto" w:fill="auto"/>
            <w:vAlign w:val="center"/>
          </w:tcPr>
          <w:p w14:paraId="37612FD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出栏体重</w:t>
            </w:r>
          </w:p>
          <w:p w14:paraId="52AA2DE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(g/只)</w:t>
            </w:r>
          </w:p>
        </w:tc>
        <w:tc>
          <w:tcPr>
            <w:tcW w:w="655" w:type="pct"/>
            <w:tcBorders>
              <w:bottom w:val="single" w:color="000000" w:themeColor="text1" w:sz="12" w:space="0"/>
            </w:tcBorders>
            <w:shd w:val="clear" w:color="auto" w:fill="auto"/>
            <w:vAlign w:val="center"/>
          </w:tcPr>
          <w:p w14:paraId="68330B9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料重比</w:t>
            </w:r>
          </w:p>
          <w:p w14:paraId="0938DF9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(g/g)</w:t>
            </w:r>
          </w:p>
        </w:tc>
        <w:tc>
          <w:tcPr>
            <w:tcW w:w="505" w:type="pct"/>
            <w:tcBorders>
              <w:bottom w:val="single" w:color="000000" w:themeColor="text1" w:sz="12" w:space="0"/>
            </w:tcBorders>
            <w:shd w:val="clear" w:color="auto" w:fill="auto"/>
            <w:vAlign w:val="center"/>
          </w:tcPr>
          <w:p w14:paraId="3EF86EA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胸肌率</w:t>
            </w:r>
          </w:p>
          <w:p w14:paraId="60BEE42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w:t>
            </w:r>
          </w:p>
        </w:tc>
        <w:tc>
          <w:tcPr>
            <w:tcW w:w="505" w:type="pct"/>
            <w:tcBorders>
              <w:bottom w:val="single" w:color="000000" w:themeColor="text1" w:sz="12" w:space="0"/>
            </w:tcBorders>
            <w:shd w:val="clear" w:color="auto" w:fill="auto"/>
            <w:vAlign w:val="center"/>
          </w:tcPr>
          <w:p w14:paraId="6727971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腿肌率</w:t>
            </w:r>
          </w:p>
          <w:p w14:paraId="2112EBE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w:t>
            </w:r>
          </w:p>
        </w:tc>
        <w:tc>
          <w:tcPr>
            <w:tcW w:w="505" w:type="pct"/>
            <w:tcBorders>
              <w:bottom w:val="single" w:color="000000" w:themeColor="text1" w:sz="12" w:space="0"/>
            </w:tcBorders>
            <w:shd w:val="clear" w:color="auto" w:fill="auto"/>
            <w:vAlign w:val="center"/>
          </w:tcPr>
          <w:p w14:paraId="55334C3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皮脂率</w:t>
            </w:r>
          </w:p>
          <w:p w14:paraId="66EEC93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bCs/>
                <w:color w:val="000000" w:themeColor="text1"/>
                <w:sz w:val="21"/>
                <w:szCs w:val="21"/>
                <w:highlight w:val="none"/>
              </w:rPr>
            </w:pPr>
            <w:r>
              <w:rPr>
                <w:rFonts w:hint="default" w:ascii="Times New Roman" w:hAnsi="Times New Roman" w:eastAsia="宋体" w:cs="Times New Roman"/>
                <w:b/>
                <w:bCs/>
                <w:color w:val="000000" w:themeColor="text1"/>
                <w:sz w:val="21"/>
                <w:szCs w:val="21"/>
                <w:highlight w:val="none"/>
              </w:rPr>
              <w:t>（%）</w:t>
            </w:r>
          </w:p>
        </w:tc>
      </w:tr>
      <w:tr w14:paraId="3530E00A">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op w:val="single" w:color="000000" w:themeColor="text1" w:sz="12" w:space="0"/>
              <w:tl2br w:val="nil"/>
              <w:tr2bl w:val="nil"/>
            </w:tcBorders>
            <w:shd w:val="clear" w:color="auto" w:fill="auto"/>
            <w:vAlign w:val="center"/>
          </w:tcPr>
          <w:p w14:paraId="7D9313E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8</w:t>
            </w:r>
          </w:p>
        </w:tc>
        <w:tc>
          <w:tcPr>
            <w:tcW w:w="626" w:type="pct"/>
            <w:tcBorders>
              <w:top w:val="single" w:color="000000" w:themeColor="text1" w:sz="12" w:space="0"/>
              <w:tl2br w:val="nil"/>
              <w:tr2bl w:val="nil"/>
            </w:tcBorders>
            <w:shd w:val="clear" w:color="auto" w:fill="auto"/>
            <w:vAlign w:val="center"/>
          </w:tcPr>
          <w:p w14:paraId="7DC3519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101.0±7.2</w:t>
            </w:r>
            <w:r>
              <w:rPr>
                <w:rFonts w:hint="default" w:ascii="Times New Roman" w:hAnsi="Times New Roman" w:eastAsia="宋体" w:cs="Times New Roman"/>
                <w:b w:val="0"/>
                <w:bCs w:val="0"/>
                <w:color w:val="000000" w:themeColor="text1"/>
                <w:sz w:val="21"/>
                <w:szCs w:val="21"/>
                <w:highlight w:val="none"/>
                <w:vertAlign w:val="superscript"/>
              </w:rPr>
              <w:t>a</w:t>
            </w:r>
          </w:p>
        </w:tc>
        <w:tc>
          <w:tcPr>
            <w:tcW w:w="726" w:type="pct"/>
            <w:tcBorders>
              <w:top w:val="single" w:color="000000" w:themeColor="text1" w:sz="12" w:space="0"/>
              <w:tl2br w:val="nil"/>
              <w:tr2bl w:val="nil"/>
            </w:tcBorders>
            <w:shd w:val="clear" w:color="auto" w:fill="auto"/>
            <w:vAlign w:val="center"/>
          </w:tcPr>
          <w:p w14:paraId="52B079E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188.4±26.3</w:t>
            </w:r>
            <w:r>
              <w:rPr>
                <w:rFonts w:hint="default" w:ascii="Times New Roman" w:hAnsi="Times New Roman" w:eastAsia="宋体" w:cs="Times New Roman"/>
                <w:b w:val="0"/>
                <w:bCs w:val="0"/>
                <w:color w:val="000000" w:themeColor="text1"/>
                <w:sz w:val="21"/>
                <w:szCs w:val="21"/>
                <w:highlight w:val="none"/>
                <w:vertAlign w:val="superscript"/>
              </w:rPr>
              <w:t>ab</w:t>
            </w:r>
          </w:p>
        </w:tc>
        <w:tc>
          <w:tcPr>
            <w:tcW w:w="855" w:type="pct"/>
            <w:tcBorders>
              <w:top w:val="single" w:color="000000" w:themeColor="text1" w:sz="12" w:space="0"/>
              <w:tl2br w:val="nil"/>
              <w:tr2bl w:val="nil"/>
            </w:tcBorders>
            <w:shd w:val="clear" w:color="auto" w:fill="auto"/>
            <w:vAlign w:val="center"/>
          </w:tcPr>
          <w:p w14:paraId="5B3D9CD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3165.7±185.8</w:t>
            </w:r>
            <w:r>
              <w:rPr>
                <w:rFonts w:hint="default" w:ascii="Times New Roman" w:hAnsi="Times New Roman" w:eastAsia="宋体" w:cs="Times New Roman"/>
                <w:b w:val="0"/>
                <w:bCs w:val="0"/>
                <w:color w:val="000000" w:themeColor="text1"/>
                <w:sz w:val="21"/>
                <w:szCs w:val="21"/>
                <w:highlight w:val="none"/>
                <w:vertAlign w:val="superscript"/>
              </w:rPr>
              <w:t>a</w:t>
            </w:r>
          </w:p>
        </w:tc>
        <w:tc>
          <w:tcPr>
            <w:tcW w:w="655" w:type="pct"/>
            <w:tcBorders>
              <w:top w:val="single" w:color="000000" w:themeColor="text1" w:sz="12" w:space="0"/>
              <w:tl2br w:val="nil"/>
              <w:tr2bl w:val="nil"/>
            </w:tcBorders>
            <w:shd w:val="clear" w:color="auto" w:fill="auto"/>
            <w:vAlign w:val="center"/>
          </w:tcPr>
          <w:p w14:paraId="3BDFCC6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1.87±0.24</w:t>
            </w:r>
            <w:r>
              <w:rPr>
                <w:rFonts w:hint="default" w:ascii="Times New Roman" w:hAnsi="Times New Roman" w:eastAsia="宋体" w:cs="Times New Roman"/>
                <w:b w:val="0"/>
                <w:bCs w:val="0"/>
                <w:color w:val="000000" w:themeColor="text1"/>
                <w:sz w:val="21"/>
                <w:szCs w:val="21"/>
                <w:highlight w:val="none"/>
                <w:vertAlign w:val="superscript"/>
              </w:rPr>
              <w:t>bc</w:t>
            </w:r>
          </w:p>
        </w:tc>
        <w:tc>
          <w:tcPr>
            <w:tcW w:w="505" w:type="pct"/>
            <w:tcBorders>
              <w:top w:val="single" w:color="000000" w:themeColor="text1" w:sz="12" w:space="0"/>
              <w:tl2br w:val="nil"/>
              <w:tr2bl w:val="nil"/>
            </w:tcBorders>
            <w:shd w:val="clear" w:color="auto" w:fill="auto"/>
            <w:vAlign w:val="center"/>
          </w:tcPr>
          <w:p w14:paraId="182744D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15.3±1.7</w:t>
            </w:r>
          </w:p>
        </w:tc>
        <w:tc>
          <w:tcPr>
            <w:tcW w:w="505" w:type="pct"/>
            <w:tcBorders>
              <w:top w:val="single" w:color="000000" w:themeColor="text1" w:sz="12" w:space="0"/>
              <w:tl2br w:val="nil"/>
              <w:tr2bl w:val="nil"/>
            </w:tcBorders>
            <w:shd w:val="clear" w:color="auto" w:fill="auto"/>
            <w:vAlign w:val="center"/>
          </w:tcPr>
          <w:p w14:paraId="6E43615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18.0±1.4</w:t>
            </w:r>
          </w:p>
        </w:tc>
        <w:tc>
          <w:tcPr>
            <w:tcW w:w="505" w:type="pct"/>
            <w:tcBorders>
              <w:top w:val="single" w:color="000000" w:themeColor="text1" w:sz="12" w:space="0"/>
              <w:tl2br w:val="nil"/>
              <w:tr2bl w:val="nil"/>
            </w:tcBorders>
            <w:shd w:val="clear" w:color="auto" w:fill="auto"/>
            <w:vAlign w:val="center"/>
          </w:tcPr>
          <w:p w14:paraId="76BC0642">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25.2±2.5</w:t>
            </w:r>
          </w:p>
        </w:tc>
      </w:tr>
      <w:tr w14:paraId="31EF9C95">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l2br w:val="nil"/>
              <w:tr2bl w:val="nil"/>
            </w:tcBorders>
            <w:shd w:val="clear" w:color="auto" w:fill="auto"/>
            <w:vAlign w:val="center"/>
          </w:tcPr>
          <w:p w14:paraId="5F3D99E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14</w:t>
            </w:r>
          </w:p>
        </w:tc>
        <w:tc>
          <w:tcPr>
            <w:tcW w:w="626" w:type="pct"/>
            <w:tcBorders>
              <w:tl2br w:val="nil"/>
              <w:tr2bl w:val="nil"/>
            </w:tcBorders>
            <w:shd w:val="clear" w:color="auto" w:fill="auto"/>
            <w:vAlign w:val="center"/>
          </w:tcPr>
          <w:p w14:paraId="5F5AEB9F">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97.1±6.5</w:t>
            </w:r>
            <w:r>
              <w:rPr>
                <w:rFonts w:hint="default" w:ascii="Times New Roman" w:hAnsi="Times New Roman" w:eastAsia="宋体" w:cs="Times New Roman"/>
                <w:b w:val="0"/>
                <w:bCs w:val="0"/>
                <w:color w:val="000000" w:themeColor="text1"/>
                <w:sz w:val="21"/>
                <w:szCs w:val="21"/>
                <w:highlight w:val="none"/>
                <w:vertAlign w:val="superscript"/>
              </w:rPr>
              <w:t>b</w:t>
            </w:r>
          </w:p>
        </w:tc>
        <w:tc>
          <w:tcPr>
            <w:tcW w:w="726" w:type="pct"/>
            <w:tcBorders>
              <w:tl2br w:val="nil"/>
              <w:tr2bl w:val="nil"/>
            </w:tcBorders>
            <w:shd w:val="clear" w:color="auto" w:fill="auto"/>
            <w:vAlign w:val="center"/>
          </w:tcPr>
          <w:p w14:paraId="1821E5C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179.6±14.6</w:t>
            </w:r>
            <w:r>
              <w:rPr>
                <w:rFonts w:hint="default" w:ascii="Times New Roman" w:hAnsi="Times New Roman" w:eastAsia="宋体" w:cs="Times New Roman"/>
                <w:b w:val="0"/>
                <w:bCs w:val="0"/>
                <w:color w:val="000000" w:themeColor="text1"/>
                <w:sz w:val="21"/>
                <w:szCs w:val="21"/>
                <w:highlight w:val="none"/>
                <w:vertAlign w:val="superscript"/>
              </w:rPr>
              <w:t>b</w:t>
            </w:r>
          </w:p>
        </w:tc>
        <w:tc>
          <w:tcPr>
            <w:tcW w:w="855" w:type="pct"/>
            <w:tcBorders>
              <w:tl2br w:val="nil"/>
              <w:tr2bl w:val="nil"/>
            </w:tcBorders>
            <w:shd w:val="clear" w:color="auto" w:fill="auto"/>
            <w:vAlign w:val="center"/>
          </w:tcPr>
          <w:p w14:paraId="24BFF0B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3048.7±181.7</w:t>
            </w:r>
            <w:r>
              <w:rPr>
                <w:rFonts w:hint="default" w:ascii="Times New Roman" w:hAnsi="Times New Roman" w:eastAsia="宋体" w:cs="Times New Roman"/>
                <w:b w:val="0"/>
                <w:bCs w:val="0"/>
                <w:color w:val="000000" w:themeColor="text1"/>
                <w:sz w:val="21"/>
                <w:szCs w:val="21"/>
                <w:highlight w:val="none"/>
                <w:vertAlign w:val="superscript"/>
              </w:rPr>
              <w:t>b</w:t>
            </w:r>
          </w:p>
        </w:tc>
        <w:tc>
          <w:tcPr>
            <w:tcW w:w="655" w:type="pct"/>
            <w:tcBorders>
              <w:tl2br w:val="nil"/>
              <w:tr2bl w:val="nil"/>
            </w:tcBorders>
            <w:shd w:val="clear" w:color="auto" w:fill="auto"/>
            <w:vAlign w:val="center"/>
          </w:tcPr>
          <w:p w14:paraId="5F28134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1.85±0.14</w:t>
            </w:r>
            <w:r>
              <w:rPr>
                <w:rFonts w:hint="default" w:ascii="Times New Roman" w:hAnsi="Times New Roman" w:eastAsia="宋体" w:cs="Times New Roman"/>
                <w:b w:val="0"/>
                <w:bCs w:val="0"/>
                <w:color w:val="000000" w:themeColor="text1"/>
                <w:sz w:val="21"/>
                <w:szCs w:val="21"/>
                <w:highlight w:val="none"/>
                <w:vertAlign w:val="superscript"/>
              </w:rPr>
              <w:t>bc</w:t>
            </w:r>
          </w:p>
        </w:tc>
        <w:tc>
          <w:tcPr>
            <w:tcW w:w="505" w:type="pct"/>
            <w:tcBorders>
              <w:tl2br w:val="nil"/>
              <w:tr2bl w:val="nil"/>
            </w:tcBorders>
            <w:shd w:val="clear" w:color="auto" w:fill="auto"/>
            <w:vAlign w:val="center"/>
          </w:tcPr>
          <w:p w14:paraId="52A13CB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14.3±1.7</w:t>
            </w:r>
          </w:p>
        </w:tc>
        <w:tc>
          <w:tcPr>
            <w:tcW w:w="505" w:type="pct"/>
            <w:tcBorders>
              <w:tl2br w:val="nil"/>
              <w:tr2bl w:val="nil"/>
            </w:tcBorders>
            <w:shd w:val="clear" w:color="auto" w:fill="auto"/>
            <w:vAlign w:val="center"/>
          </w:tcPr>
          <w:p w14:paraId="6F5BAE5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18.7±1.3</w:t>
            </w:r>
          </w:p>
        </w:tc>
        <w:tc>
          <w:tcPr>
            <w:tcW w:w="505" w:type="pct"/>
            <w:tcBorders>
              <w:tl2br w:val="nil"/>
              <w:tr2bl w:val="nil"/>
            </w:tcBorders>
            <w:shd w:val="clear" w:color="auto" w:fill="auto"/>
            <w:vAlign w:val="center"/>
          </w:tcPr>
          <w:p w14:paraId="581668B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24.6±3.0</w:t>
            </w:r>
          </w:p>
        </w:tc>
      </w:tr>
      <w:tr w14:paraId="39867A0D">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l2br w:val="nil"/>
              <w:tr2bl w:val="nil"/>
            </w:tcBorders>
            <w:shd w:val="clear" w:color="auto" w:fill="auto"/>
            <w:vAlign w:val="center"/>
          </w:tcPr>
          <w:p w14:paraId="0D5B4ED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15</w:t>
            </w:r>
          </w:p>
        </w:tc>
        <w:tc>
          <w:tcPr>
            <w:tcW w:w="626" w:type="pct"/>
            <w:tcBorders>
              <w:tl2br w:val="nil"/>
              <w:tr2bl w:val="nil"/>
            </w:tcBorders>
            <w:shd w:val="clear" w:color="auto" w:fill="auto"/>
            <w:vAlign w:val="center"/>
          </w:tcPr>
          <w:p w14:paraId="2066F32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95.4±5.4</w:t>
            </w:r>
            <w:r>
              <w:rPr>
                <w:rFonts w:hint="default" w:ascii="Times New Roman" w:hAnsi="Times New Roman" w:eastAsia="宋体" w:cs="Times New Roman"/>
                <w:b w:val="0"/>
                <w:bCs w:val="0"/>
                <w:color w:val="000000" w:themeColor="text1"/>
                <w:sz w:val="21"/>
                <w:szCs w:val="21"/>
                <w:highlight w:val="none"/>
                <w:vertAlign w:val="superscript"/>
              </w:rPr>
              <w:t>bc</w:t>
            </w:r>
          </w:p>
        </w:tc>
        <w:tc>
          <w:tcPr>
            <w:tcW w:w="726" w:type="pct"/>
            <w:tcBorders>
              <w:tl2br w:val="nil"/>
              <w:tr2bl w:val="nil"/>
            </w:tcBorders>
            <w:shd w:val="clear" w:color="auto" w:fill="auto"/>
            <w:vAlign w:val="center"/>
          </w:tcPr>
          <w:p w14:paraId="359559D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177.0±16.7</w:t>
            </w:r>
            <w:r>
              <w:rPr>
                <w:rFonts w:hint="default" w:ascii="Times New Roman" w:hAnsi="Times New Roman" w:eastAsia="宋体" w:cs="Times New Roman"/>
                <w:b w:val="0"/>
                <w:bCs w:val="0"/>
                <w:color w:val="000000" w:themeColor="text1"/>
                <w:sz w:val="21"/>
                <w:szCs w:val="21"/>
                <w:highlight w:val="none"/>
                <w:vertAlign w:val="superscript"/>
              </w:rPr>
              <w:t>b</w:t>
            </w:r>
          </w:p>
        </w:tc>
        <w:tc>
          <w:tcPr>
            <w:tcW w:w="855" w:type="pct"/>
            <w:tcBorders>
              <w:tl2br w:val="nil"/>
              <w:tr2bl w:val="nil"/>
            </w:tcBorders>
            <w:shd w:val="clear" w:color="auto" w:fill="auto"/>
            <w:vAlign w:val="center"/>
          </w:tcPr>
          <w:p w14:paraId="7D9F7BF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2996.4±156.1</w:t>
            </w:r>
            <w:r>
              <w:rPr>
                <w:rFonts w:hint="default" w:ascii="Times New Roman" w:hAnsi="Times New Roman" w:eastAsia="宋体" w:cs="Times New Roman"/>
                <w:b w:val="0"/>
                <w:bCs w:val="0"/>
                <w:color w:val="000000" w:themeColor="text1"/>
                <w:sz w:val="21"/>
                <w:szCs w:val="21"/>
                <w:highlight w:val="none"/>
                <w:vertAlign w:val="superscript"/>
              </w:rPr>
              <w:t>bc</w:t>
            </w:r>
          </w:p>
        </w:tc>
        <w:tc>
          <w:tcPr>
            <w:tcW w:w="655" w:type="pct"/>
            <w:tcBorders>
              <w:tl2br w:val="nil"/>
              <w:tr2bl w:val="nil"/>
            </w:tcBorders>
            <w:shd w:val="clear" w:color="auto" w:fill="auto"/>
            <w:vAlign w:val="center"/>
          </w:tcPr>
          <w:p w14:paraId="2DA95FA3">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1.85±0.13</w:t>
            </w:r>
            <w:r>
              <w:rPr>
                <w:rFonts w:hint="default" w:ascii="Times New Roman" w:hAnsi="Times New Roman" w:eastAsia="宋体" w:cs="Times New Roman"/>
                <w:b w:val="0"/>
                <w:bCs w:val="0"/>
                <w:color w:val="000000" w:themeColor="text1"/>
                <w:sz w:val="21"/>
                <w:szCs w:val="21"/>
                <w:highlight w:val="none"/>
                <w:vertAlign w:val="superscript"/>
              </w:rPr>
              <w:t>bc</w:t>
            </w:r>
          </w:p>
        </w:tc>
        <w:tc>
          <w:tcPr>
            <w:tcW w:w="505" w:type="pct"/>
            <w:tcBorders>
              <w:tl2br w:val="nil"/>
              <w:tr2bl w:val="nil"/>
            </w:tcBorders>
            <w:shd w:val="clear" w:color="auto" w:fill="auto"/>
            <w:vAlign w:val="center"/>
          </w:tcPr>
          <w:p w14:paraId="5F34C33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14.6±2.8</w:t>
            </w:r>
          </w:p>
        </w:tc>
        <w:tc>
          <w:tcPr>
            <w:tcW w:w="505" w:type="pct"/>
            <w:tcBorders>
              <w:tl2br w:val="nil"/>
              <w:tr2bl w:val="nil"/>
            </w:tcBorders>
            <w:shd w:val="clear" w:color="auto" w:fill="auto"/>
            <w:vAlign w:val="center"/>
          </w:tcPr>
          <w:p w14:paraId="58C8B73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19.5±3.8</w:t>
            </w:r>
          </w:p>
        </w:tc>
        <w:tc>
          <w:tcPr>
            <w:tcW w:w="505" w:type="pct"/>
            <w:tcBorders>
              <w:tl2br w:val="nil"/>
              <w:tr2bl w:val="nil"/>
            </w:tcBorders>
            <w:shd w:val="clear" w:color="auto" w:fill="auto"/>
            <w:vAlign w:val="center"/>
          </w:tcPr>
          <w:p w14:paraId="5B2006D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25.9±4.4</w:t>
            </w:r>
          </w:p>
        </w:tc>
      </w:tr>
      <w:tr w14:paraId="6D3C5030">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l2br w:val="nil"/>
              <w:tr2bl w:val="nil"/>
            </w:tcBorders>
            <w:shd w:val="clear" w:color="auto" w:fill="auto"/>
            <w:vAlign w:val="center"/>
          </w:tcPr>
          <w:p w14:paraId="1AC704C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16</w:t>
            </w:r>
          </w:p>
        </w:tc>
        <w:tc>
          <w:tcPr>
            <w:tcW w:w="626" w:type="pct"/>
            <w:tcBorders>
              <w:tl2br w:val="nil"/>
              <w:tr2bl w:val="nil"/>
            </w:tcBorders>
            <w:shd w:val="clear" w:color="auto" w:fill="auto"/>
            <w:vAlign w:val="center"/>
          </w:tcPr>
          <w:p w14:paraId="4B38B73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93.2±5.5</w:t>
            </w:r>
            <w:r>
              <w:rPr>
                <w:rFonts w:hint="default" w:ascii="Times New Roman" w:hAnsi="Times New Roman" w:eastAsia="宋体" w:cs="Times New Roman"/>
                <w:b w:val="0"/>
                <w:bCs w:val="0"/>
                <w:color w:val="000000" w:themeColor="text1"/>
                <w:sz w:val="21"/>
                <w:szCs w:val="21"/>
                <w:highlight w:val="none"/>
                <w:vertAlign w:val="superscript"/>
              </w:rPr>
              <w:t>c</w:t>
            </w:r>
          </w:p>
        </w:tc>
        <w:tc>
          <w:tcPr>
            <w:tcW w:w="726" w:type="pct"/>
            <w:tcBorders>
              <w:tl2br w:val="nil"/>
              <w:tr2bl w:val="nil"/>
            </w:tcBorders>
            <w:shd w:val="clear" w:color="auto" w:fill="auto"/>
            <w:vAlign w:val="center"/>
          </w:tcPr>
          <w:p w14:paraId="666274D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173.9±16.0</w:t>
            </w:r>
            <w:r>
              <w:rPr>
                <w:rFonts w:hint="default" w:ascii="Times New Roman" w:hAnsi="Times New Roman" w:eastAsia="宋体" w:cs="Times New Roman"/>
                <w:b w:val="0"/>
                <w:bCs w:val="0"/>
                <w:color w:val="000000" w:themeColor="text1"/>
                <w:sz w:val="21"/>
                <w:szCs w:val="21"/>
                <w:highlight w:val="none"/>
                <w:vertAlign w:val="superscript"/>
              </w:rPr>
              <w:t>b</w:t>
            </w:r>
          </w:p>
        </w:tc>
        <w:tc>
          <w:tcPr>
            <w:tcW w:w="855" w:type="pct"/>
            <w:tcBorders>
              <w:tl2br w:val="nil"/>
              <w:tr2bl w:val="nil"/>
            </w:tcBorders>
            <w:shd w:val="clear" w:color="auto" w:fill="auto"/>
            <w:vAlign w:val="center"/>
          </w:tcPr>
          <w:p w14:paraId="4FD2EA0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2934.3±141.5</w:t>
            </w:r>
            <w:r>
              <w:rPr>
                <w:rFonts w:hint="default" w:ascii="Times New Roman" w:hAnsi="Times New Roman" w:eastAsia="宋体" w:cs="Times New Roman"/>
                <w:b w:val="0"/>
                <w:bCs w:val="0"/>
                <w:color w:val="000000" w:themeColor="text1"/>
                <w:sz w:val="21"/>
                <w:szCs w:val="21"/>
                <w:highlight w:val="none"/>
                <w:vertAlign w:val="superscript"/>
              </w:rPr>
              <w:t>c</w:t>
            </w:r>
          </w:p>
        </w:tc>
        <w:tc>
          <w:tcPr>
            <w:tcW w:w="655" w:type="pct"/>
            <w:tcBorders>
              <w:tl2br w:val="nil"/>
              <w:tr2bl w:val="nil"/>
            </w:tcBorders>
            <w:shd w:val="clear" w:color="auto" w:fill="auto"/>
            <w:vAlign w:val="center"/>
          </w:tcPr>
          <w:p w14:paraId="3965482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1.87±0.14</w:t>
            </w:r>
            <w:r>
              <w:rPr>
                <w:rFonts w:hint="default" w:ascii="Times New Roman" w:hAnsi="Times New Roman" w:eastAsia="宋体" w:cs="Times New Roman"/>
                <w:b w:val="0"/>
                <w:bCs w:val="0"/>
                <w:color w:val="000000" w:themeColor="text1"/>
                <w:sz w:val="21"/>
                <w:szCs w:val="21"/>
                <w:highlight w:val="none"/>
                <w:vertAlign w:val="superscript"/>
              </w:rPr>
              <w:t>bc</w:t>
            </w:r>
          </w:p>
        </w:tc>
        <w:tc>
          <w:tcPr>
            <w:tcW w:w="505" w:type="pct"/>
            <w:tcBorders>
              <w:tl2br w:val="nil"/>
              <w:tr2bl w:val="nil"/>
            </w:tcBorders>
            <w:shd w:val="clear" w:color="auto" w:fill="auto"/>
            <w:vAlign w:val="center"/>
          </w:tcPr>
          <w:p w14:paraId="3FFC26AE">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13.8±1.5</w:t>
            </w:r>
          </w:p>
        </w:tc>
        <w:tc>
          <w:tcPr>
            <w:tcW w:w="505" w:type="pct"/>
            <w:tcBorders>
              <w:tl2br w:val="nil"/>
              <w:tr2bl w:val="nil"/>
            </w:tcBorders>
            <w:shd w:val="clear" w:color="auto" w:fill="auto"/>
            <w:vAlign w:val="center"/>
          </w:tcPr>
          <w:p w14:paraId="6232028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18.6±1.4</w:t>
            </w:r>
          </w:p>
        </w:tc>
        <w:tc>
          <w:tcPr>
            <w:tcW w:w="505" w:type="pct"/>
            <w:tcBorders>
              <w:tl2br w:val="nil"/>
              <w:tr2bl w:val="nil"/>
            </w:tcBorders>
            <w:shd w:val="clear" w:color="auto" w:fill="auto"/>
            <w:vAlign w:val="center"/>
          </w:tcPr>
          <w:p w14:paraId="6DD709D9">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25.4±2.4</w:t>
            </w:r>
          </w:p>
        </w:tc>
      </w:tr>
      <w:tr w14:paraId="5CBCD8CE">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l2br w:val="nil"/>
              <w:tr2bl w:val="nil"/>
            </w:tcBorders>
            <w:shd w:val="clear" w:color="auto" w:fill="auto"/>
            <w:vAlign w:val="center"/>
          </w:tcPr>
          <w:p w14:paraId="0164002A">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17</w:t>
            </w:r>
          </w:p>
        </w:tc>
        <w:tc>
          <w:tcPr>
            <w:tcW w:w="626" w:type="pct"/>
            <w:tcBorders>
              <w:tl2br w:val="nil"/>
              <w:tr2bl w:val="nil"/>
            </w:tcBorders>
            <w:shd w:val="clear" w:color="auto" w:fill="auto"/>
            <w:vAlign w:val="center"/>
          </w:tcPr>
          <w:p w14:paraId="27F32BE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94.0±3.3</w:t>
            </w:r>
            <w:r>
              <w:rPr>
                <w:rFonts w:hint="default" w:ascii="Times New Roman" w:hAnsi="Times New Roman" w:eastAsia="宋体" w:cs="Times New Roman"/>
                <w:b w:val="0"/>
                <w:bCs w:val="0"/>
                <w:color w:val="000000" w:themeColor="text1"/>
                <w:sz w:val="21"/>
                <w:szCs w:val="21"/>
                <w:highlight w:val="none"/>
                <w:vertAlign w:val="superscript"/>
              </w:rPr>
              <w:t>bc</w:t>
            </w:r>
          </w:p>
        </w:tc>
        <w:tc>
          <w:tcPr>
            <w:tcW w:w="726" w:type="pct"/>
            <w:tcBorders>
              <w:tl2br w:val="nil"/>
              <w:tr2bl w:val="nil"/>
            </w:tcBorders>
            <w:shd w:val="clear" w:color="auto" w:fill="auto"/>
            <w:vAlign w:val="center"/>
          </w:tcPr>
          <w:p w14:paraId="7259D800">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187.1±29.2</w:t>
            </w:r>
            <w:r>
              <w:rPr>
                <w:rFonts w:hint="default" w:ascii="Times New Roman" w:hAnsi="Times New Roman" w:eastAsia="宋体" w:cs="Times New Roman"/>
                <w:b w:val="0"/>
                <w:bCs w:val="0"/>
                <w:color w:val="000000" w:themeColor="text1"/>
                <w:sz w:val="21"/>
                <w:szCs w:val="21"/>
                <w:highlight w:val="none"/>
                <w:vertAlign w:val="superscript"/>
              </w:rPr>
              <w:t>ab</w:t>
            </w:r>
          </w:p>
        </w:tc>
        <w:tc>
          <w:tcPr>
            <w:tcW w:w="855" w:type="pct"/>
            <w:tcBorders>
              <w:tl2br w:val="nil"/>
              <w:tr2bl w:val="nil"/>
            </w:tcBorders>
            <w:shd w:val="clear" w:color="auto" w:fill="auto"/>
            <w:vAlign w:val="center"/>
          </w:tcPr>
          <w:p w14:paraId="3DFAE16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2955.4±92.3</w:t>
            </w:r>
            <w:r>
              <w:rPr>
                <w:rFonts w:hint="default" w:ascii="Times New Roman" w:hAnsi="Times New Roman" w:eastAsia="宋体" w:cs="Times New Roman"/>
                <w:b w:val="0"/>
                <w:bCs w:val="0"/>
                <w:color w:val="000000" w:themeColor="text1"/>
                <w:sz w:val="21"/>
                <w:szCs w:val="21"/>
                <w:highlight w:val="none"/>
                <w:vertAlign w:val="superscript"/>
              </w:rPr>
              <w:t>c</w:t>
            </w:r>
          </w:p>
        </w:tc>
        <w:tc>
          <w:tcPr>
            <w:tcW w:w="655" w:type="pct"/>
            <w:tcBorders>
              <w:tl2br w:val="nil"/>
              <w:tr2bl w:val="nil"/>
            </w:tcBorders>
            <w:shd w:val="clear" w:color="auto" w:fill="auto"/>
            <w:vAlign w:val="center"/>
          </w:tcPr>
          <w:p w14:paraId="6F71A11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1.99±0.32</w:t>
            </w:r>
            <w:r>
              <w:rPr>
                <w:rFonts w:hint="default" w:ascii="Times New Roman" w:hAnsi="Times New Roman" w:eastAsia="宋体" w:cs="Times New Roman"/>
                <w:b w:val="0"/>
                <w:bCs w:val="0"/>
                <w:color w:val="000000" w:themeColor="text1"/>
                <w:sz w:val="21"/>
                <w:szCs w:val="21"/>
                <w:highlight w:val="none"/>
                <w:vertAlign w:val="superscript"/>
              </w:rPr>
              <w:t>ab</w:t>
            </w:r>
          </w:p>
        </w:tc>
        <w:tc>
          <w:tcPr>
            <w:tcW w:w="505" w:type="pct"/>
            <w:tcBorders>
              <w:tl2br w:val="nil"/>
              <w:tr2bl w:val="nil"/>
            </w:tcBorders>
            <w:shd w:val="clear" w:color="auto" w:fill="auto"/>
            <w:vAlign w:val="center"/>
          </w:tcPr>
          <w:p w14:paraId="0B63FEDB">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14.4±1.4</w:t>
            </w:r>
          </w:p>
        </w:tc>
        <w:tc>
          <w:tcPr>
            <w:tcW w:w="505" w:type="pct"/>
            <w:tcBorders>
              <w:tl2br w:val="nil"/>
              <w:tr2bl w:val="nil"/>
            </w:tcBorders>
            <w:shd w:val="clear" w:color="auto" w:fill="auto"/>
            <w:vAlign w:val="center"/>
          </w:tcPr>
          <w:p w14:paraId="6AB51561">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18.7±2.1</w:t>
            </w:r>
          </w:p>
        </w:tc>
        <w:tc>
          <w:tcPr>
            <w:tcW w:w="505" w:type="pct"/>
            <w:tcBorders>
              <w:tl2br w:val="nil"/>
              <w:tr2bl w:val="nil"/>
            </w:tcBorders>
            <w:shd w:val="clear" w:color="auto" w:fill="auto"/>
            <w:vAlign w:val="center"/>
          </w:tcPr>
          <w:p w14:paraId="29EBDA6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25.2±2.1</w:t>
            </w:r>
          </w:p>
        </w:tc>
      </w:tr>
      <w:tr w14:paraId="17FF7784">
        <w:tblPrEx>
          <w:tblBorders>
            <w:top w:val="single" w:color="000000" w:themeColor="text1" w:sz="12" w:space="0"/>
            <w:left w:val="none" w:color="auto" w:sz="0" w:space="0"/>
            <w:bottom w:val="single" w:color="000000" w:themeColor="text1" w:sz="12"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619" w:type="pct"/>
            <w:tcBorders>
              <w:tl2br w:val="nil"/>
              <w:tr2bl w:val="nil"/>
            </w:tcBorders>
            <w:shd w:val="clear" w:color="auto" w:fill="auto"/>
            <w:vAlign w:val="center"/>
          </w:tcPr>
          <w:p w14:paraId="05E6C405">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18</w:t>
            </w:r>
          </w:p>
        </w:tc>
        <w:tc>
          <w:tcPr>
            <w:tcW w:w="626" w:type="pct"/>
            <w:tcBorders>
              <w:tl2br w:val="nil"/>
              <w:tr2bl w:val="nil"/>
            </w:tcBorders>
            <w:shd w:val="clear" w:color="auto" w:fill="auto"/>
            <w:vAlign w:val="center"/>
          </w:tcPr>
          <w:p w14:paraId="371B3188">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96.5±4.0</w:t>
            </w:r>
            <w:r>
              <w:rPr>
                <w:rFonts w:hint="default" w:ascii="Times New Roman" w:hAnsi="Times New Roman" w:eastAsia="宋体" w:cs="Times New Roman"/>
                <w:b w:val="0"/>
                <w:bCs w:val="0"/>
                <w:color w:val="000000" w:themeColor="text1"/>
                <w:sz w:val="21"/>
                <w:szCs w:val="21"/>
                <w:highlight w:val="none"/>
                <w:vertAlign w:val="superscript"/>
              </w:rPr>
              <w:t>b</w:t>
            </w:r>
          </w:p>
        </w:tc>
        <w:tc>
          <w:tcPr>
            <w:tcW w:w="726" w:type="pct"/>
            <w:tcBorders>
              <w:tl2br w:val="nil"/>
              <w:tr2bl w:val="nil"/>
            </w:tcBorders>
            <w:shd w:val="clear" w:color="auto" w:fill="auto"/>
            <w:vAlign w:val="center"/>
          </w:tcPr>
          <w:p w14:paraId="7AE88FF4">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204.4±53.2</w:t>
            </w:r>
            <w:r>
              <w:rPr>
                <w:rFonts w:hint="default" w:ascii="Times New Roman" w:hAnsi="Times New Roman" w:eastAsia="宋体" w:cs="Times New Roman"/>
                <w:b w:val="0"/>
                <w:bCs w:val="0"/>
                <w:color w:val="000000" w:themeColor="text1"/>
                <w:sz w:val="21"/>
                <w:szCs w:val="21"/>
                <w:highlight w:val="none"/>
                <w:vertAlign w:val="superscript"/>
              </w:rPr>
              <w:t>a</w:t>
            </w:r>
          </w:p>
        </w:tc>
        <w:tc>
          <w:tcPr>
            <w:tcW w:w="855" w:type="pct"/>
            <w:tcBorders>
              <w:tl2br w:val="nil"/>
              <w:tr2bl w:val="nil"/>
            </w:tcBorders>
            <w:shd w:val="clear" w:color="auto" w:fill="auto"/>
            <w:vAlign w:val="center"/>
          </w:tcPr>
          <w:p w14:paraId="7A2B433C">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vertAlign w:val="baseline"/>
              </w:rPr>
              <w:t>3008.5±110.1</w:t>
            </w:r>
            <w:r>
              <w:rPr>
                <w:rFonts w:hint="default" w:ascii="Times New Roman" w:hAnsi="Times New Roman" w:eastAsia="宋体" w:cs="Times New Roman"/>
                <w:b w:val="0"/>
                <w:bCs w:val="0"/>
                <w:color w:val="000000" w:themeColor="text1"/>
                <w:sz w:val="21"/>
                <w:szCs w:val="21"/>
                <w:highlight w:val="none"/>
                <w:vertAlign w:val="superscript"/>
              </w:rPr>
              <w:t>bc</w:t>
            </w:r>
          </w:p>
        </w:tc>
        <w:tc>
          <w:tcPr>
            <w:tcW w:w="655" w:type="pct"/>
            <w:tcBorders>
              <w:tl2br w:val="nil"/>
              <w:tr2bl w:val="nil"/>
            </w:tcBorders>
            <w:shd w:val="clear" w:color="auto" w:fill="auto"/>
            <w:vAlign w:val="center"/>
          </w:tcPr>
          <w:p w14:paraId="5A766D4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2.11±0.53</w:t>
            </w:r>
            <w:r>
              <w:rPr>
                <w:rFonts w:hint="default" w:ascii="Times New Roman" w:hAnsi="Times New Roman" w:eastAsia="宋体" w:cs="Times New Roman"/>
                <w:b w:val="0"/>
                <w:bCs w:val="0"/>
                <w:color w:val="000000" w:themeColor="text1"/>
                <w:sz w:val="21"/>
                <w:szCs w:val="21"/>
                <w:highlight w:val="none"/>
                <w:vertAlign w:val="superscript"/>
              </w:rPr>
              <w:t>a</w:t>
            </w:r>
          </w:p>
        </w:tc>
        <w:tc>
          <w:tcPr>
            <w:tcW w:w="505" w:type="pct"/>
            <w:tcBorders>
              <w:tl2br w:val="nil"/>
              <w:tr2bl w:val="nil"/>
            </w:tcBorders>
            <w:shd w:val="clear" w:color="auto" w:fill="auto"/>
            <w:vAlign w:val="center"/>
          </w:tcPr>
          <w:p w14:paraId="053C9EF6">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14.7±1.9</w:t>
            </w:r>
          </w:p>
        </w:tc>
        <w:tc>
          <w:tcPr>
            <w:tcW w:w="505" w:type="pct"/>
            <w:tcBorders>
              <w:tl2br w:val="nil"/>
              <w:tr2bl w:val="nil"/>
            </w:tcBorders>
            <w:shd w:val="clear" w:color="auto" w:fill="auto"/>
            <w:vAlign w:val="center"/>
          </w:tcPr>
          <w:p w14:paraId="52597EF7">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19.0±1.7</w:t>
            </w:r>
          </w:p>
        </w:tc>
        <w:tc>
          <w:tcPr>
            <w:tcW w:w="505" w:type="pct"/>
            <w:tcBorders>
              <w:tl2br w:val="nil"/>
              <w:tr2bl w:val="nil"/>
            </w:tcBorders>
            <w:shd w:val="clear" w:color="auto" w:fill="auto"/>
            <w:vAlign w:val="center"/>
          </w:tcPr>
          <w:p w14:paraId="53F9586D">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jc w:val="center"/>
              <w:textAlignment w:val="auto"/>
              <w:rPr>
                <w:rFonts w:hint="default" w:ascii="Times New Roman" w:hAnsi="Times New Roman" w:eastAsia="宋体" w:cs="Times New Roman"/>
                <w:b w:val="0"/>
                <w:bCs w:val="0"/>
                <w:color w:val="000000" w:themeColor="text1"/>
                <w:sz w:val="21"/>
                <w:szCs w:val="21"/>
                <w:highlight w:val="none"/>
              </w:rPr>
            </w:pPr>
            <w:r>
              <w:rPr>
                <w:rFonts w:hint="default" w:ascii="Times New Roman" w:hAnsi="Times New Roman" w:eastAsia="宋体" w:cs="Times New Roman"/>
                <w:b w:val="0"/>
                <w:bCs w:val="0"/>
                <w:color w:val="000000" w:themeColor="text1"/>
                <w:sz w:val="21"/>
                <w:szCs w:val="21"/>
                <w:highlight w:val="none"/>
              </w:rPr>
              <w:t>26.0±3.1</w:t>
            </w:r>
          </w:p>
        </w:tc>
      </w:tr>
    </w:tbl>
    <w:p w14:paraId="5FF809B3">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kern w:val="2"/>
          <w:sz w:val="24"/>
          <w:szCs w:val="24"/>
          <w:highlight w:val="none"/>
          <w:lang w:val="en-US" w:eastAsia="zh-CN" w:bidi="ar-SA"/>
        </w:rPr>
      </w:pPr>
      <w:r>
        <w:rPr>
          <w:rFonts w:hint="eastAsia" w:cs="Times New Roman" w:eastAsiaTheme="minorEastAsia"/>
          <w:b/>
          <w:bCs/>
          <w:color w:val="000000"/>
          <w:kern w:val="2"/>
          <w:sz w:val="24"/>
          <w:szCs w:val="24"/>
          <w:highlight w:val="none"/>
          <w:lang w:val="en-US" w:eastAsia="zh-CN" w:bidi="ar-SA"/>
        </w:rPr>
        <w:t>7.3饲喂管理</w:t>
      </w:r>
    </w:p>
    <w:p w14:paraId="232E710E">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cs="Times New Roman" w:eastAsiaTheme="minorEastAsia"/>
          <w:color w:val="000000"/>
          <w:kern w:val="2"/>
          <w:sz w:val="24"/>
          <w:szCs w:val="24"/>
          <w:highlight w:val="none"/>
          <w:lang w:val="en-US" w:eastAsia="zh-CN" w:bidi="ar-SA"/>
        </w:rPr>
      </w:pPr>
      <w:r>
        <w:rPr>
          <w:rFonts w:hint="eastAsia" w:cs="Times New Roman" w:eastAsiaTheme="minorEastAsia"/>
          <w:color w:val="000000"/>
          <w:kern w:val="2"/>
          <w:sz w:val="24"/>
          <w:szCs w:val="24"/>
          <w:highlight w:val="none"/>
          <w:lang w:val="en-US" w:eastAsia="zh-CN" w:bidi="ar-SA"/>
        </w:rPr>
        <w:t>饲喂管理主要有两个重点，一个是饲喂方式，另一个是饲料质量。关于饲喂方式，由于不同生长阶段、体重和体质的肉鸭对饲料的需求量和消化能力存在差异，因此应根据肉鸭实际饲料消耗情况确定饲喂次数、采取自由采食并每日清空料槽、防止积压饲料霉变；关于饲料质量，饲料的卫生质量应符合《GB 13078  饲料卫生标准》的要求，饲料的营养标准应符合《NY/T 2122  肉鸭饲养标准》的要求。</w:t>
      </w:r>
    </w:p>
    <w:p w14:paraId="15024DAC">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kern w:val="2"/>
          <w:sz w:val="24"/>
          <w:szCs w:val="24"/>
          <w:highlight w:val="none"/>
          <w:lang w:val="en-US" w:eastAsia="zh-CN" w:bidi="ar-SA"/>
        </w:rPr>
      </w:pPr>
      <w:r>
        <w:rPr>
          <w:rFonts w:hint="eastAsia" w:cs="Times New Roman" w:eastAsiaTheme="minorEastAsia"/>
          <w:b/>
          <w:bCs/>
          <w:color w:val="000000"/>
          <w:kern w:val="2"/>
          <w:sz w:val="24"/>
          <w:szCs w:val="24"/>
          <w:highlight w:val="none"/>
          <w:lang w:val="en-US" w:eastAsia="zh-CN" w:bidi="ar-SA"/>
        </w:rPr>
        <w:t>7.4饮水管理</w:t>
      </w:r>
    </w:p>
    <w:p w14:paraId="15BD1D94">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color w:val="000000"/>
          <w:kern w:val="2"/>
          <w:sz w:val="24"/>
          <w:szCs w:val="24"/>
          <w:highlight w:val="none"/>
          <w:lang w:val="en-US" w:eastAsia="zh-CN" w:bidi="ar-SA"/>
        </w:rPr>
      </w:pPr>
      <w:r>
        <w:rPr>
          <w:rFonts w:hint="eastAsia" w:cs="Times New Roman" w:eastAsiaTheme="minorEastAsia"/>
          <w:color w:val="000000"/>
          <w:kern w:val="2"/>
          <w:sz w:val="24"/>
          <w:szCs w:val="24"/>
          <w:highlight w:val="none"/>
          <w:lang w:val="en-US" w:eastAsia="zh-CN" w:bidi="ar-SA"/>
        </w:rPr>
        <w:t>肉鸭作为水禽，对水的需求量较大，自由饮水可以确保肉鸭随时获取所需水分，为保障饮水质量，本文件要求饮水质量应满足《GB 5749  生活饮用水卫生标准》的规定。关于饮水角度，1日龄～3日龄的肉鸭体质较弱，以45度角饮水可以减少其饮水时的体力消耗，降低呛水风险。4日龄后的肉鸭随着体质的增强和饮水习惯的形成，可以适当提高饮水角度至60度～70度，以便其更顺畅地饮水。</w:t>
      </w:r>
    </w:p>
    <w:p w14:paraId="4D17C30F">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8</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环境控制</w:t>
      </w:r>
    </w:p>
    <w:p w14:paraId="627EF5CF">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b/>
          <w:bCs/>
          <w:color w:val="000000"/>
          <w:kern w:val="2"/>
          <w:sz w:val="24"/>
          <w:szCs w:val="24"/>
          <w:highlight w:val="none"/>
          <w:lang w:val="en-US" w:eastAsia="zh-CN" w:bidi="ar-SA"/>
        </w:rPr>
      </w:pPr>
      <w:r>
        <w:rPr>
          <w:rFonts w:hint="eastAsia" w:ascii="Times New Roman" w:hAnsi="Times New Roman" w:cs="Times New Roman" w:eastAsiaTheme="minorEastAsia"/>
          <w:b/>
          <w:bCs/>
          <w:color w:val="000000"/>
          <w:kern w:val="2"/>
          <w:sz w:val="24"/>
          <w:szCs w:val="24"/>
          <w:highlight w:val="none"/>
          <w:lang w:val="en-US" w:eastAsia="zh-CN" w:bidi="ar-SA"/>
        </w:rPr>
        <w:t>8.1温度</w:t>
      </w:r>
    </w:p>
    <w:p w14:paraId="53AD3928">
      <w:pPr>
        <w:pStyle w:val="22"/>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default"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肉鸭</w:t>
      </w:r>
      <w:r>
        <w:rPr>
          <w:rFonts w:hint="eastAsia" w:ascii="Times New Roman" w:cs="Times New Roman" w:eastAsiaTheme="minorEastAsia"/>
          <w:color w:val="000000"/>
          <w:kern w:val="2"/>
          <w:sz w:val="24"/>
          <w:szCs w:val="24"/>
          <w:highlight w:val="none"/>
          <w:lang w:val="en-US" w:eastAsia="zh-CN" w:bidi="ar-SA"/>
        </w:rPr>
        <w:t>生</w:t>
      </w:r>
      <w:r>
        <w:rPr>
          <w:rFonts w:hint="eastAsia" w:ascii="Times New Roman" w:hAnsi="Times New Roman" w:cs="Times New Roman" w:eastAsiaTheme="minorEastAsia"/>
          <w:color w:val="000000"/>
          <w:kern w:val="2"/>
          <w:sz w:val="24"/>
          <w:szCs w:val="24"/>
          <w:highlight w:val="none"/>
          <w:lang w:val="en-US" w:eastAsia="zh-CN" w:bidi="ar-SA"/>
        </w:rPr>
        <w:t>长速快周期短，受外因干扰大，科学落实保育技术十分重要，如温度设定方面，规划好育雏的起始温度和降温曲线尤显关键。温度过高，肉鸭呼吸加快，饮水增加，采食量减少，长时间高温，致使肉鸭消瘦，软弱，易患疾病等；温度过低，鸭维持体温需要的能量多，采食量大且容易扎堆</w:t>
      </w:r>
      <w:r>
        <w:rPr>
          <w:rFonts w:hint="eastAsia" w:ascii="Times New Roman" w:cs="Times New Roman" w:eastAsiaTheme="minorEastAsia"/>
          <w:color w:val="000000"/>
          <w:kern w:val="2"/>
          <w:sz w:val="24"/>
          <w:szCs w:val="24"/>
          <w:highlight w:val="none"/>
          <w:lang w:val="en-US" w:eastAsia="zh-CN" w:bidi="ar-SA"/>
        </w:rPr>
        <w:t>，容易诱发呼吸道疾病的发生</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ascii="Times New Roman" w:cs="Times New Roman" w:eastAsiaTheme="minorEastAsia"/>
          <w:color w:val="000000"/>
          <w:kern w:val="2"/>
          <w:sz w:val="24"/>
          <w:szCs w:val="24"/>
          <w:highlight w:val="none"/>
          <w:lang w:val="en-US" w:eastAsia="zh-CN" w:bidi="ar-SA"/>
        </w:rPr>
        <w:t>孙培新等</w:t>
      </w:r>
      <w:r>
        <w:rPr>
          <w:rFonts w:hint="eastAsia" w:ascii="宋体" w:hAnsi="宋体" w:cs="宋体"/>
          <w:b w:val="0"/>
          <w:bCs w:val="0"/>
          <w:i w:val="0"/>
          <w:iCs w:val="0"/>
          <w:color w:val="000000"/>
          <w:sz w:val="24"/>
          <w:szCs w:val="24"/>
          <w:highlight w:val="none"/>
          <w:vertAlign w:val="superscript"/>
          <w:lang w:val="en-US" w:eastAsia="zh-CN"/>
        </w:rPr>
        <w:t>[</w:t>
      </w:r>
      <w:r>
        <w:rPr>
          <w:rFonts w:hint="eastAsia" w:hAnsi="宋体" w:cs="宋体"/>
          <w:b w:val="0"/>
          <w:bCs w:val="0"/>
          <w:i w:val="0"/>
          <w:iCs w:val="0"/>
          <w:color w:val="000000"/>
          <w:sz w:val="24"/>
          <w:szCs w:val="24"/>
          <w:highlight w:val="none"/>
          <w:vertAlign w:val="superscript"/>
          <w:lang w:val="en-US" w:eastAsia="zh-CN"/>
        </w:rPr>
        <w:t>6</w:t>
      </w:r>
      <w:r>
        <w:rPr>
          <w:rFonts w:hint="eastAsia" w:ascii="宋体" w:hAnsi="宋体" w:cs="宋体"/>
          <w:b w:val="0"/>
          <w:bCs w:val="0"/>
          <w:i w:val="0"/>
          <w:iCs w:val="0"/>
          <w:color w:val="000000"/>
          <w:sz w:val="24"/>
          <w:szCs w:val="24"/>
          <w:highlight w:val="none"/>
          <w:vertAlign w:val="superscript"/>
          <w:lang w:val="en-US" w:eastAsia="zh-CN"/>
        </w:rPr>
        <w:t>]</w:t>
      </w:r>
      <w:r>
        <w:rPr>
          <w:rFonts w:hint="eastAsia" w:ascii="Times New Roman" w:cs="Times New Roman" w:eastAsiaTheme="minorEastAsia"/>
          <w:color w:val="000000"/>
          <w:kern w:val="2"/>
          <w:sz w:val="24"/>
          <w:szCs w:val="24"/>
          <w:highlight w:val="none"/>
          <w:lang w:val="en-US" w:eastAsia="zh-CN" w:bidi="ar-SA"/>
        </w:rPr>
        <w:t>的研究表明，</w:t>
      </w:r>
      <w:r>
        <w:rPr>
          <w:rFonts w:hint="eastAsia" w:ascii="Times New Roman" w:hAnsi="Times New Roman" w:cs="Times New Roman" w:eastAsiaTheme="minorEastAsia"/>
          <w:color w:val="000000"/>
          <w:kern w:val="2"/>
          <w:sz w:val="24"/>
          <w:szCs w:val="24"/>
          <w:highlight w:val="none"/>
          <w:lang w:val="en-US" w:eastAsia="zh-CN" w:bidi="ar-SA"/>
        </w:rPr>
        <w:t>以料重比和胸肌率为评价指标，14</w:t>
      </w:r>
      <w:r>
        <w:rPr>
          <w:rFonts w:hint="eastAsia" w:ascii="Times New Roman" w:cs="Times New Roman" w:eastAsiaTheme="minorEastAsia"/>
          <w:color w:val="000000"/>
          <w:kern w:val="2"/>
          <w:sz w:val="24"/>
          <w:szCs w:val="24"/>
          <w:highlight w:val="none"/>
          <w:lang w:val="en-US" w:eastAsia="zh-CN" w:bidi="ar-SA"/>
        </w:rPr>
        <w:t>日龄</w:t>
      </w:r>
      <w:r>
        <w:rPr>
          <w:rFonts w:hint="eastAsia" w:ascii="Times New Roman" w:hAnsi="Times New Roman" w:cs="Times New Roman" w:eastAsiaTheme="minorEastAsia"/>
          <w:color w:val="000000"/>
          <w:kern w:val="2"/>
          <w:sz w:val="24"/>
          <w:szCs w:val="24"/>
          <w:highlight w:val="none"/>
          <w:lang w:val="en-US" w:eastAsia="zh-CN" w:bidi="ar-SA"/>
        </w:rPr>
        <w:t>～42 日龄北京鸭适宜养殖环境温度范围的临界上限温度为26℃</w:t>
      </w:r>
      <w:r>
        <w:rPr>
          <w:rFonts w:hint="eastAsia" w:ascii="Times New Roman"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当环境温度高于26℃时，北京鸭饲料转化效率和胸肌率将呈现下降的趋势。</w:t>
      </w:r>
      <w:r>
        <w:rPr>
          <w:rFonts w:hint="eastAsia" w:ascii="Times New Roman" w:cs="Times New Roman" w:eastAsiaTheme="minorEastAsia"/>
          <w:color w:val="000000"/>
          <w:kern w:val="2"/>
          <w:sz w:val="24"/>
          <w:szCs w:val="24"/>
          <w:highlight w:val="none"/>
          <w:lang w:val="en-US" w:eastAsia="zh-CN" w:bidi="ar-SA"/>
        </w:rPr>
        <w:t>鉴于不同品种、不同饲养密度的情况下，温度影响有所不同，</w:t>
      </w:r>
      <w:r>
        <w:rPr>
          <w:rFonts w:hint="eastAsia" w:ascii="Times New Roman" w:hAnsi="Times New Roman" w:cs="Times New Roman" w:eastAsiaTheme="minorEastAsia"/>
          <w:color w:val="000000"/>
          <w:kern w:val="2"/>
          <w:sz w:val="24"/>
          <w:szCs w:val="24"/>
          <w:highlight w:val="none"/>
          <w:lang w:val="en-US" w:eastAsia="zh-CN" w:bidi="ar-SA"/>
        </w:rPr>
        <w:t>在</w:t>
      </w:r>
      <w:r>
        <w:rPr>
          <w:rFonts w:hint="eastAsia" w:ascii="Times New Roman" w:cs="Times New Roman" w:eastAsiaTheme="minorEastAsia"/>
          <w:color w:val="000000"/>
          <w:kern w:val="2"/>
          <w:sz w:val="24"/>
          <w:szCs w:val="24"/>
          <w:highlight w:val="none"/>
          <w:lang w:val="en-US" w:eastAsia="zh-CN" w:bidi="ar-SA"/>
        </w:rPr>
        <w:t>实际</w:t>
      </w:r>
      <w:r>
        <w:rPr>
          <w:rFonts w:hint="eastAsia" w:ascii="Times New Roman" w:hAnsi="Times New Roman" w:cs="Times New Roman" w:eastAsiaTheme="minorEastAsia"/>
          <w:color w:val="000000"/>
          <w:kern w:val="2"/>
          <w:sz w:val="24"/>
          <w:szCs w:val="24"/>
          <w:highlight w:val="none"/>
          <w:lang w:val="en-US" w:eastAsia="zh-CN" w:bidi="ar-SA"/>
        </w:rPr>
        <w:t>生产中</w:t>
      </w:r>
      <w:r>
        <w:rPr>
          <w:rFonts w:hint="eastAsia" w:ascii="Times New Roman"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比较理想的降温模式是2日龄～19日龄</w:t>
      </w:r>
      <w:r>
        <w:rPr>
          <w:rFonts w:hint="eastAsia" w:ascii="Times New Roman" w:cs="Times New Roman" w:eastAsiaTheme="minorEastAsia"/>
          <w:color w:val="000000"/>
          <w:kern w:val="2"/>
          <w:sz w:val="24"/>
          <w:szCs w:val="24"/>
          <w:highlight w:val="none"/>
          <w:lang w:val="en-US" w:eastAsia="zh-CN" w:bidi="ar-SA"/>
        </w:rPr>
        <w:t>宜为30</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ascii="Times New Roman"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32℃，</w:t>
      </w:r>
      <w:r>
        <w:rPr>
          <w:rFonts w:hint="eastAsia" w:ascii="Times New Roman" w:cs="Times New Roman" w:eastAsiaTheme="minorEastAsia"/>
          <w:color w:val="000000"/>
          <w:kern w:val="2"/>
          <w:sz w:val="24"/>
          <w:szCs w:val="24"/>
          <w:highlight w:val="none"/>
          <w:lang w:val="en-US" w:eastAsia="zh-CN" w:bidi="ar-SA"/>
        </w:rPr>
        <w:t>4</w:t>
      </w:r>
      <w:r>
        <w:rPr>
          <w:rFonts w:hint="eastAsia" w:ascii="Times New Roman" w:hAnsi="Times New Roman" w:cs="Times New Roman" w:eastAsiaTheme="minorEastAsia"/>
          <w:color w:val="000000"/>
          <w:kern w:val="2"/>
          <w:sz w:val="24"/>
          <w:szCs w:val="24"/>
          <w:highlight w:val="none"/>
          <w:lang w:val="en-US" w:eastAsia="zh-CN" w:bidi="ar-SA"/>
        </w:rPr>
        <w:t>日龄～</w:t>
      </w:r>
      <w:r>
        <w:rPr>
          <w:rFonts w:hint="eastAsia" w:ascii="Times New Roman" w:cs="Times New Roman" w:eastAsiaTheme="minorEastAsia"/>
          <w:color w:val="000000"/>
          <w:kern w:val="2"/>
          <w:sz w:val="24"/>
          <w:szCs w:val="24"/>
          <w:highlight w:val="none"/>
          <w:lang w:val="en-US" w:eastAsia="zh-CN" w:bidi="ar-SA"/>
        </w:rPr>
        <w:t>20</w:t>
      </w:r>
      <w:r>
        <w:rPr>
          <w:rFonts w:hint="eastAsia" w:ascii="Times New Roman" w:hAnsi="Times New Roman" w:cs="Times New Roman" w:eastAsiaTheme="minorEastAsia"/>
          <w:color w:val="000000"/>
          <w:kern w:val="2"/>
          <w:sz w:val="24"/>
          <w:szCs w:val="24"/>
          <w:highlight w:val="none"/>
          <w:lang w:val="en-US" w:eastAsia="zh-CN" w:bidi="ar-SA"/>
        </w:rPr>
        <w:t>日龄每两天宜降温1℃</w:t>
      </w:r>
      <w:r>
        <w:rPr>
          <w:rFonts w:hint="eastAsia" w:ascii="Times New Roman" w:cs="Times New Roman" w:eastAsiaTheme="minorEastAsia"/>
          <w:color w:val="000000"/>
          <w:kern w:val="2"/>
          <w:sz w:val="24"/>
          <w:szCs w:val="24"/>
          <w:highlight w:val="none"/>
          <w:lang w:val="en-US" w:eastAsia="zh-CN" w:bidi="ar-SA"/>
        </w:rPr>
        <w:t>，21日龄～出栏保持在18℃～22℃</w:t>
      </w:r>
      <w:r>
        <w:rPr>
          <w:rFonts w:hint="eastAsia" w:ascii="Times New Roman" w:hAnsi="Times New Roman" w:cs="Times New Roman" w:eastAsiaTheme="minorEastAsia"/>
          <w:color w:val="000000"/>
          <w:kern w:val="2"/>
          <w:sz w:val="24"/>
          <w:szCs w:val="24"/>
          <w:highlight w:val="none"/>
          <w:lang w:val="en-US" w:eastAsia="zh-CN" w:bidi="ar-SA"/>
        </w:rPr>
        <w:t>，直至出栏。</w:t>
      </w:r>
    </w:p>
    <w:p w14:paraId="06B91E7E">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b/>
          <w:bCs/>
          <w:color w:val="000000"/>
          <w:kern w:val="2"/>
          <w:sz w:val="24"/>
          <w:szCs w:val="24"/>
          <w:highlight w:val="none"/>
          <w:lang w:val="en-US" w:eastAsia="zh-CN" w:bidi="ar-SA"/>
        </w:rPr>
      </w:pPr>
      <w:r>
        <w:rPr>
          <w:rFonts w:hint="eastAsia" w:ascii="Times New Roman" w:hAnsi="Times New Roman" w:cs="Times New Roman" w:eastAsiaTheme="minorEastAsia"/>
          <w:b/>
          <w:bCs/>
          <w:color w:val="000000"/>
          <w:kern w:val="2"/>
          <w:sz w:val="24"/>
          <w:szCs w:val="24"/>
          <w:highlight w:val="none"/>
          <w:lang w:val="en-US" w:eastAsia="zh-CN" w:bidi="ar-SA"/>
        </w:rPr>
        <w:t>8.2湿度</w:t>
      </w:r>
    </w:p>
    <w:p w14:paraId="72493F8F">
      <w:pPr>
        <w:pStyle w:val="22"/>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湿度是影响肉鸭生长和健康的关键因素之一。湿度过高容易造成鸭舍内的霉菌和细菌滋生，增加鸭子患病的风险</w:t>
      </w:r>
      <w:r>
        <w:rPr>
          <w:rFonts w:hint="eastAsia" w:ascii="Times New Roman" w:cs="Times New Roman" w:eastAsiaTheme="minorEastAsia"/>
          <w:color w:val="000000"/>
          <w:kern w:val="2"/>
          <w:sz w:val="24"/>
          <w:szCs w:val="24"/>
          <w:highlight w:val="none"/>
          <w:lang w:val="en-US" w:eastAsia="zh-CN" w:bidi="ar-SA"/>
        </w:rPr>
        <w:t>，还会显著抑制肉鸭的生长性能，已有研究表明，当环境湿度达到80%时，北京鸭的日增重显著降低，料重比和腹脂率显著升高</w:t>
      </w:r>
      <w:r>
        <w:rPr>
          <w:rFonts w:hint="eastAsia" w:ascii="宋体" w:hAnsi="宋体" w:cs="宋体"/>
          <w:b w:val="0"/>
          <w:bCs w:val="0"/>
          <w:i w:val="0"/>
          <w:iCs w:val="0"/>
          <w:color w:val="000000"/>
          <w:sz w:val="24"/>
          <w:szCs w:val="24"/>
          <w:highlight w:val="none"/>
          <w:vertAlign w:val="superscript"/>
          <w:lang w:val="en-US" w:eastAsia="zh-CN"/>
        </w:rPr>
        <w:t>[</w:t>
      </w:r>
      <w:r>
        <w:rPr>
          <w:rFonts w:hint="eastAsia" w:hAnsi="宋体" w:cs="宋体"/>
          <w:b w:val="0"/>
          <w:bCs w:val="0"/>
          <w:i w:val="0"/>
          <w:iCs w:val="0"/>
          <w:color w:val="000000"/>
          <w:sz w:val="24"/>
          <w:szCs w:val="24"/>
          <w:highlight w:val="none"/>
          <w:vertAlign w:val="superscript"/>
          <w:lang w:val="en-US" w:eastAsia="zh-CN"/>
        </w:rPr>
        <w:t>7</w:t>
      </w:r>
      <w:r>
        <w:rPr>
          <w:rFonts w:hint="eastAsia" w:ascii="宋体" w:hAnsi="宋体" w:cs="宋体"/>
          <w:b w:val="0"/>
          <w:bCs w:val="0"/>
          <w:i w:val="0"/>
          <w:iCs w:val="0"/>
          <w:color w:val="000000"/>
          <w:sz w:val="24"/>
          <w:szCs w:val="24"/>
          <w:highlight w:val="none"/>
          <w:vertAlign w:val="superscript"/>
          <w:lang w:val="en-US" w:eastAsia="zh-CN"/>
        </w:rPr>
        <w:t>]</w:t>
      </w:r>
      <w:r>
        <w:rPr>
          <w:rFonts w:hint="eastAsia" w:ascii="Times New Roman" w:cs="Times New Roman" w:eastAsiaTheme="minorEastAsia"/>
          <w:color w:val="000000"/>
          <w:kern w:val="2"/>
          <w:sz w:val="24"/>
          <w:szCs w:val="24"/>
          <w:highlight w:val="none"/>
          <w:lang w:val="en-US" w:eastAsia="zh-CN" w:bidi="ar-SA"/>
        </w:rPr>
        <w:t>；湿度过低则可能导致鸭子体内水分过快蒸发，出现脱水现象。</w:t>
      </w:r>
      <w:r>
        <w:rPr>
          <w:rFonts w:hint="eastAsia" w:ascii="Times New Roman" w:hAnsi="Times New Roman" w:cs="Times New Roman" w:eastAsiaTheme="minorEastAsia"/>
          <w:color w:val="000000"/>
          <w:kern w:val="2"/>
          <w:sz w:val="24"/>
          <w:szCs w:val="24"/>
          <w:highlight w:val="none"/>
          <w:lang w:val="en-US" w:eastAsia="zh-CN" w:bidi="ar-SA"/>
        </w:rPr>
        <w:t>育雏期是肉鸭生长的关键时期，湿度控制尤为重要</w:t>
      </w:r>
      <w:r>
        <w:rPr>
          <w:rFonts w:hint="eastAsia" w:ascii="Times New Roman" w:cs="Times New Roman" w:eastAsiaTheme="minorEastAsia"/>
          <w:color w:val="000000"/>
          <w:kern w:val="2"/>
          <w:sz w:val="24"/>
          <w:szCs w:val="24"/>
          <w:highlight w:val="none"/>
          <w:lang w:val="en-US" w:eastAsia="zh-CN" w:bidi="ar-SA"/>
        </w:rPr>
        <w:t>，尤其是育雏期，雏鸭由于体温调节机能不健全，对湿度的要求较高；随</w:t>
      </w:r>
      <w:r>
        <w:rPr>
          <w:rFonts w:hint="eastAsia" w:ascii="Times New Roman" w:hAnsi="Times New Roman" w:cs="Times New Roman" w:eastAsiaTheme="minorEastAsia"/>
          <w:color w:val="000000"/>
          <w:kern w:val="2"/>
          <w:sz w:val="24"/>
          <w:szCs w:val="24"/>
          <w:highlight w:val="none"/>
          <w:lang w:val="en-US" w:eastAsia="zh-CN" w:bidi="ar-SA"/>
        </w:rPr>
        <w:t>着日龄的增加，肉鸭的体温调节能力逐渐增强，对湿度的适应性也更强</w:t>
      </w:r>
      <w:r>
        <w:rPr>
          <w:rFonts w:hint="eastAsia" w:ascii="Times New Roman" w:cs="Times New Roman" w:eastAsiaTheme="minorEastAsia"/>
          <w:color w:val="000000"/>
          <w:kern w:val="2"/>
          <w:sz w:val="24"/>
          <w:szCs w:val="24"/>
          <w:highlight w:val="none"/>
          <w:lang w:val="en-US" w:eastAsia="zh-CN" w:bidi="ar-SA"/>
        </w:rPr>
        <w:t>，为了保持鸭舍内的干燥和清洁，也需要适当降低湿度。因此，本文件要求</w:t>
      </w:r>
      <w:r>
        <w:rPr>
          <w:rFonts w:hint="eastAsia" w:ascii="Times New Roman" w:hAnsi="Times New Roman" w:cs="Times New Roman" w:eastAsiaTheme="minorEastAsia"/>
          <w:color w:val="000000"/>
          <w:kern w:val="2"/>
          <w:sz w:val="24"/>
          <w:szCs w:val="24"/>
          <w:highlight w:val="none"/>
          <w:lang w:val="en-US" w:eastAsia="zh-CN" w:bidi="ar-SA"/>
        </w:rPr>
        <w:t>育雏期前7天的湿度应保持在6</w:t>
      </w:r>
      <w:r>
        <w:rPr>
          <w:rFonts w:hint="eastAsia" w:ascii="Times New Roman" w:cs="Times New Roman" w:eastAsiaTheme="minorEastAsia"/>
          <w:color w:val="000000"/>
          <w:kern w:val="2"/>
          <w:sz w:val="24"/>
          <w:szCs w:val="24"/>
          <w:highlight w:val="none"/>
          <w:lang w:val="en-US" w:eastAsia="zh-CN" w:bidi="ar-SA"/>
        </w:rPr>
        <w:t>0</w:t>
      </w:r>
      <w:r>
        <w:rPr>
          <w:rFonts w:hint="eastAsia" w:ascii="Times New Roman" w:hAnsi="Times New Roman" w:cs="Times New Roman" w:eastAsiaTheme="minorEastAsia"/>
          <w:color w:val="000000"/>
          <w:kern w:val="2"/>
          <w:sz w:val="24"/>
          <w:szCs w:val="24"/>
          <w:highlight w:val="none"/>
          <w:lang w:val="en-US" w:eastAsia="zh-CN" w:bidi="ar-SA"/>
        </w:rPr>
        <w:t>%～70%，以避免雏鸭脱水</w:t>
      </w:r>
      <w:r>
        <w:rPr>
          <w:rFonts w:hint="eastAsia" w:ascii="Times New Roman" w:cs="Times New Roman" w:eastAsiaTheme="minorEastAsia"/>
          <w:color w:val="000000"/>
          <w:kern w:val="2"/>
          <w:sz w:val="24"/>
          <w:szCs w:val="24"/>
          <w:highlight w:val="none"/>
          <w:lang w:val="en-US" w:eastAsia="zh-CN" w:bidi="ar-SA"/>
        </w:rPr>
        <w:t>，随着日龄的增长，湿度可逐渐降低，每周下降5%，到第22日龄以后，湿度宜保持在50%～60%。</w:t>
      </w:r>
    </w:p>
    <w:p w14:paraId="7E001D09">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ascii="Times New Roman" w:hAnsi="Times New Roman" w:cs="Times New Roman" w:eastAsiaTheme="minorEastAsia"/>
          <w:b/>
          <w:bCs/>
          <w:color w:val="000000"/>
          <w:kern w:val="2"/>
          <w:sz w:val="24"/>
          <w:szCs w:val="24"/>
          <w:highlight w:val="none"/>
          <w:lang w:val="en-US" w:eastAsia="zh-CN" w:bidi="ar-SA"/>
        </w:rPr>
      </w:pPr>
      <w:r>
        <w:rPr>
          <w:rFonts w:hint="eastAsia" w:ascii="Times New Roman" w:hAnsi="Times New Roman" w:cs="Times New Roman" w:eastAsiaTheme="minorEastAsia"/>
          <w:b/>
          <w:bCs/>
          <w:color w:val="000000"/>
          <w:kern w:val="2"/>
          <w:sz w:val="24"/>
          <w:szCs w:val="24"/>
          <w:highlight w:val="none"/>
          <w:lang w:val="en-US" w:eastAsia="zh-CN" w:bidi="ar-SA"/>
        </w:rPr>
        <w:t xml:space="preserve">8.3光照 </w:t>
      </w:r>
    </w:p>
    <w:p w14:paraId="65D8088B">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宋体" w:hAnsi="宋体" w:eastAsia="宋体" w:cs="宋体"/>
          <w:b w:val="0"/>
          <w:bCs w:val="0"/>
          <w:i w:val="0"/>
          <w:iCs w:val="0"/>
          <w:color w:val="000000"/>
          <w:sz w:val="24"/>
          <w:szCs w:val="24"/>
          <w:highlight w:val="none"/>
          <w:lang w:val="en-US" w:eastAsia="zh-CN"/>
        </w:rPr>
      </w:pPr>
      <w:r>
        <w:rPr>
          <w:rFonts w:ascii="宋体" w:hAnsi="宋体" w:eastAsia="宋体" w:cs="宋体"/>
          <w:b w:val="0"/>
          <w:bCs w:val="0"/>
          <w:i w:val="0"/>
          <w:iCs w:val="0"/>
          <w:color w:val="000000"/>
          <w:sz w:val="22"/>
          <w:szCs w:val="22"/>
          <w:highlight w:val="none"/>
        </w:rPr>
        <w:t>光照是鸭饮水、采食等活动的必要条件，对鸭的物质代谢及生长发育起着至关重要</w:t>
      </w:r>
      <w:r>
        <w:rPr>
          <w:rFonts w:ascii="宋体" w:hAnsi="宋体" w:eastAsia="宋体" w:cs="宋体"/>
          <w:b w:val="0"/>
          <w:bCs w:val="0"/>
          <w:i w:val="0"/>
          <w:iCs w:val="0"/>
          <w:color w:val="000000"/>
          <w:sz w:val="22"/>
          <w:szCs w:val="22"/>
          <w:highlight w:val="none"/>
        </w:rPr>
        <w:br w:type="textWrapping"/>
      </w:r>
      <w:r>
        <w:rPr>
          <w:rFonts w:ascii="宋体" w:hAnsi="宋体" w:eastAsia="宋体" w:cs="宋体"/>
          <w:b w:val="0"/>
          <w:bCs w:val="0"/>
          <w:i w:val="0"/>
          <w:iCs w:val="0"/>
          <w:color w:val="000000"/>
          <w:sz w:val="22"/>
          <w:szCs w:val="22"/>
          <w:highlight w:val="none"/>
        </w:rPr>
        <w:t>的作用。</w:t>
      </w:r>
      <w:r>
        <w:rPr>
          <w:rFonts w:hint="eastAsia" w:ascii="宋体" w:hAnsi="宋体" w:eastAsia="宋体" w:cs="宋体"/>
          <w:b w:val="0"/>
          <w:bCs w:val="0"/>
          <w:i w:val="0"/>
          <w:iCs w:val="0"/>
          <w:color w:val="000000"/>
          <w:sz w:val="22"/>
          <w:szCs w:val="22"/>
          <w:highlight w:val="none"/>
        </w:rPr>
        <w:t>谢强</w:t>
      </w:r>
      <w:r>
        <w:rPr>
          <w:rFonts w:hint="eastAsia" w:ascii="宋体" w:hAnsi="宋体" w:eastAsia="宋体" w:cs="宋体"/>
          <w:b w:val="0"/>
          <w:bCs w:val="0"/>
          <w:i w:val="0"/>
          <w:iCs w:val="0"/>
          <w:color w:val="000000"/>
          <w:sz w:val="22"/>
          <w:szCs w:val="22"/>
          <w:highlight w:val="none"/>
          <w:lang w:val="en-US" w:eastAsia="zh-CN"/>
        </w:rPr>
        <w:t>等</w:t>
      </w:r>
      <w:r>
        <w:rPr>
          <w:rFonts w:hint="eastAsia" w:ascii="宋体" w:hAnsi="宋体" w:cs="宋体"/>
          <w:b w:val="0"/>
          <w:bCs w:val="0"/>
          <w:i w:val="0"/>
          <w:iCs w:val="0"/>
          <w:color w:val="000000"/>
          <w:sz w:val="24"/>
          <w:szCs w:val="24"/>
          <w:highlight w:val="none"/>
          <w:vertAlign w:val="superscript"/>
          <w:lang w:val="en-US" w:eastAsia="zh-CN"/>
        </w:rPr>
        <w:t>[8]</w:t>
      </w:r>
      <w:r>
        <w:rPr>
          <w:rFonts w:hint="eastAsia" w:ascii="宋体" w:hAnsi="宋体" w:eastAsia="宋体" w:cs="宋体"/>
          <w:b w:val="0"/>
          <w:bCs w:val="0"/>
          <w:i w:val="0"/>
          <w:iCs w:val="0"/>
          <w:color w:val="000000"/>
          <w:sz w:val="22"/>
          <w:szCs w:val="22"/>
          <w:highlight w:val="none"/>
          <w:lang w:val="en-US" w:eastAsia="zh-CN"/>
        </w:rPr>
        <w:t>的研究表明，在采用24 h光照时，设定光照强度分别为5 lx 、10 lx 、20 lx、40 lx和80 lx等5 个光照强度，测定各组对</w:t>
      </w:r>
      <w:r>
        <w:rPr>
          <w:rFonts w:hint="default" w:ascii="Times New Roman" w:hAnsi="Times New Roman" w:eastAsia="宋体" w:cs="Times New Roman"/>
          <w:b w:val="0"/>
          <w:bCs w:val="0"/>
          <w:i w:val="0"/>
          <w:iCs w:val="0"/>
          <w:color w:val="000000"/>
          <w:sz w:val="24"/>
          <w:szCs w:val="24"/>
          <w:highlight w:val="none"/>
        </w:rPr>
        <w:t>1</w:t>
      </w:r>
      <w:r>
        <w:rPr>
          <w:rFonts w:hint="eastAsia" w:ascii="宋体" w:hAnsi="宋体" w:eastAsia="宋体" w:cs="宋体"/>
          <w:b w:val="0"/>
          <w:bCs w:val="0"/>
          <w:i w:val="0"/>
          <w:iCs w:val="0"/>
          <w:color w:val="000000"/>
          <w:sz w:val="24"/>
          <w:szCs w:val="24"/>
          <w:highlight w:val="none"/>
        </w:rPr>
        <w:t>日龄</w:t>
      </w:r>
      <w:r>
        <w:rPr>
          <w:rFonts w:hint="eastAsia" w:ascii="Times New Roman" w:hAnsi="Times New Roman" w:cs="Times New Roman" w:eastAsiaTheme="minorEastAsia"/>
          <w:color w:val="000000"/>
          <w:kern w:val="2"/>
          <w:sz w:val="24"/>
          <w:szCs w:val="24"/>
          <w:highlight w:val="none"/>
          <w:lang w:val="en-US" w:eastAsia="zh-CN" w:bidi="ar-SA"/>
        </w:rPr>
        <w:t>～</w:t>
      </w:r>
      <w:r>
        <w:rPr>
          <w:rFonts w:hint="default" w:ascii="Times New Roman" w:hAnsi="Times New Roman" w:eastAsia="宋体" w:cs="Times New Roman"/>
          <w:b w:val="0"/>
          <w:bCs w:val="0"/>
          <w:i w:val="0"/>
          <w:iCs w:val="0"/>
          <w:color w:val="000000"/>
          <w:sz w:val="24"/>
          <w:szCs w:val="24"/>
          <w:highlight w:val="none"/>
        </w:rPr>
        <w:t>21</w:t>
      </w:r>
      <w:r>
        <w:rPr>
          <w:rFonts w:hint="eastAsia" w:ascii="宋体" w:hAnsi="宋体" w:eastAsia="宋体" w:cs="宋体"/>
          <w:b w:val="0"/>
          <w:bCs w:val="0"/>
          <w:i w:val="0"/>
          <w:iCs w:val="0"/>
          <w:color w:val="000000"/>
          <w:sz w:val="24"/>
          <w:szCs w:val="24"/>
          <w:highlight w:val="none"/>
        </w:rPr>
        <w:t>日龄樱桃谷肉鸭</w:t>
      </w:r>
      <w:r>
        <w:rPr>
          <w:rFonts w:hint="eastAsia" w:ascii="宋体" w:hAnsi="宋体" w:eastAsia="宋体" w:cs="宋体"/>
          <w:sz w:val="24"/>
          <w:szCs w:val="24"/>
          <w:highlight w:val="none"/>
          <w:lang w:val="en-US" w:eastAsia="zh-CN"/>
        </w:rPr>
        <w:t>生长性能的影响，结果表明各组光照强度对耗料增重比、胸肌率和腿肌率均无显著影响；</w:t>
      </w:r>
      <w:r>
        <w:rPr>
          <w:rFonts w:hint="eastAsia" w:ascii="宋体" w:hAnsi="宋体" w:eastAsia="宋体" w:cs="宋体"/>
          <w:b w:val="0"/>
          <w:bCs w:val="0"/>
          <w:i w:val="0"/>
          <w:iCs w:val="0"/>
          <w:color w:val="000000"/>
          <w:sz w:val="22"/>
          <w:szCs w:val="22"/>
          <w:highlight w:val="none"/>
        </w:rPr>
        <w:t>辛海瑞</w:t>
      </w:r>
      <w:r>
        <w:rPr>
          <w:rFonts w:hint="eastAsia" w:ascii="宋体" w:hAnsi="宋体" w:eastAsia="宋体" w:cs="宋体"/>
          <w:b w:val="0"/>
          <w:bCs w:val="0"/>
          <w:i w:val="0"/>
          <w:iCs w:val="0"/>
          <w:color w:val="000000"/>
          <w:sz w:val="22"/>
          <w:szCs w:val="22"/>
          <w:highlight w:val="none"/>
          <w:lang w:val="en-US" w:eastAsia="zh-CN"/>
        </w:rPr>
        <w:t>等</w:t>
      </w:r>
      <w:r>
        <w:rPr>
          <w:rFonts w:hint="eastAsia" w:ascii="宋体" w:hAnsi="宋体" w:cs="宋体"/>
          <w:b w:val="0"/>
          <w:bCs w:val="0"/>
          <w:i w:val="0"/>
          <w:iCs w:val="0"/>
          <w:color w:val="000000"/>
          <w:sz w:val="24"/>
          <w:szCs w:val="24"/>
          <w:highlight w:val="none"/>
          <w:vertAlign w:val="superscript"/>
          <w:lang w:val="en-US" w:eastAsia="zh-CN"/>
        </w:rPr>
        <w:t>[9]</w:t>
      </w:r>
      <w:r>
        <w:rPr>
          <w:rFonts w:hint="eastAsia" w:ascii="宋体" w:hAnsi="宋体" w:eastAsia="宋体" w:cs="宋体"/>
          <w:b w:val="0"/>
          <w:bCs w:val="0"/>
          <w:i w:val="0"/>
          <w:iCs w:val="0"/>
          <w:color w:val="000000"/>
          <w:sz w:val="22"/>
          <w:szCs w:val="22"/>
          <w:highlight w:val="none"/>
          <w:lang w:val="en-US" w:eastAsia="zh-CN"/>
        </w:rPr>
        <w:t>研究了不</w:t>
      </w:r>
      <w:r>
        <w:rPr>
          <w:rFonts w:hint="eastAsia" w:ascii="宋体" w:hAnsi="宋体" w:eastAsia="宋体" w:cs="宋体"/>
          <w:b w:val="0"/>
          <w:bCs w:val="0"/>
          <w:i w:val="0"/>
          <w:iCs w:val="0"/>
          <w:color w:val="000000"/>
          <w:sz w:val="24"/>
          <w:szCs w:val="24"/>
          <w:highlight w:val="none"/>
          <w:lang w:val="en-US" w:eastAsia="zh-CN"/>
        </w:rPr>
        <w:t>同光照节律（</w:t>
      </w:r>
      <w:r>
        <w:rPr>
          <w:rFonts w:hint="eastAsia" w:ascii="宋体" w:hAnsi="宋体" w:eastAsia="宋体" w:cs="宋体"/>
          <w:b w:val="0"/>
          <w:bCs w:val="0"/>
          <w:i w:val="0"/>
          <w:iCs w:val="0"/>
          <w:color w:val="000000"/>
          <w:sz w:val="24"/>
          <w:szCs w:val="24"/>
          <w:highlight w:val="none"/>
        </w:rPr>
        <w:t>间歇光照（3L﹕1D）、渐增光照、短时光照(16L﹕8D)、渐减光照、连续光照(24L﹕0D)</w:t>
      </w:r>
      <w:r>
        <w:rPr>
          <w:rFonts w:hint="eastAsia" w:ascii="宋体" w:hAnsi="宋体" w:eastAsia="宋体" w:cs="宋体"/>
          <w:b w:val="0"/>
          <w:bCs w:val="0"/>
          <w:i w:val="0"/>
          <w:iCs w:val="0"/>
          <w:color w:val="000000"/>
          <w:sz w:val="24"/>
          <w:szCs w:val="24"/>
          <w:highlight w:val="none"/>
          <w:lang w:val="en-US" w:eastAsia="zh-CN"/>
        </w:rPr>
        <w:t>对北京鸭生产性能的影响，研究表明不同光照节律对北京鸭整个生长阶段（1周龄</w:t>
      </w:r>
      <w:r>
        <w:rPr>
          <w:rFonts w:hint="eastAsia" w:ascii="Times New Roman" w:hAnsi="Times New Roman" w:cs="Times New Roman" w:eastAsiaTheme="minorEastAsia"/>
          <w:color w:val="000000"/>
          <w:kern w:val="2"/>
          <w:sz w:val="24"/>
          <w:szCs w:val="24"/>
          <w:highlight w:val="none"/>
          <w:lang w:val="en-US" w:eastAsia="zh-CN" w:bidi="ar-SA"/>
        </w:rPr>
        <w:t>～</w:t>
      </w:r>
      <w:r>
        <w:rPr>
          <w:rFonts w:hint="eastAsia" w:ascii="宋体" w:hAnsi="宋体" w:eastAsia="宋体" w:cs="宋体"/>
          <w:b w:val="0"/>
          <w:bCs w:val="0"/>
          <w:i w:val="0"/>
          <w:iCs w:val="0"/>
          <w:color w:val="000000"/>
          <w:sz w:val="24"/>
          <w:szCs w:val="24"/>
          <w:highlight w:val="none"/>
          <w:lang w:val="en-US" w:eastAsia="zh-CN"/>
        </w:rPr>
        <w:t>6周龄）的平均采食量、平均体增重及料肉比无显著差异（</w:t>
      </w:r>
      <w:r>
        <w:rPr>
          <w:rFonts w:hint="eastAsia" w:ascii="宋体" w:hAnsi="宋体" w:eastAsia="宋体" w:cs="宋体"/>
          <w:b w:val="0"/>
          <w:bCs w:val="0"/>
          <w:i/>
          <w:iCs/>
          <w:color w:val="000000"/>
          <w:sz w:val="24"/>
          <w:szCs w:val="24"/>
          <w:highlight w:val="none"/>
          <w:lang w:val="en-US" w:eastAsia="zh-CN"/>
        </w:rPr>
        <w:t>P</w:t>
      </w:r>
      <w:r>
        <w:rPr>
          <w:rFonts w:hint="eastAsia" w:ascii="宋体" w:hAnsi="宋体" w:cs="宋体"/>
          <w:b w:val="0"/>
          <w:bCs w:val="0"/>
          <w:i/>
          <w:iCs/>
          <w:color w:val="000000"/>
          <w:sz w:val="24"/>
          <w:szCs w:val="24"/>
          <w:highlight w:val="none"/>
          <w:lang w:val="en-US" w:eastAsia="zh-CN"/>
        </w:rPr>
        <w:t xml:space="preserve"> </w:t>
      </w:r>
      <w:r>
        <w:rPr>
          <w:rFonts w:hint="eastAsia" w:ascii="宋体" w:hAnsi="宋体" w:cs="宋体"/>
          <w:b w:val="0"/>
          <w:bCs w:val="0"/>
          <w:i w:val="0"/>
          <w:iCs w:val="0"/>
          <w:color w:val="000000"/>
          <w:sz w:val="24"/>
          <w:szCs w:val="24"/>
          <w:highlight w:val="none"/>
          <w:lang w:val="en-US" w:eastAsia="zh-CN"/>
        </w:rPr>
        <w:t xml:space="preserve">＞ </w:t>
      </w:r>
      <w:r>
        <w:rPr>
          <w:rFonts w:hint="eastAsia" w:ascii="宋体" w:hAnsi="宋体" w:eastAsia="宋体" w:cs="宋体"/>
          <w:b w:val="0"/>
          <w:bCs w:val="0"/>
          <w:i w:val="0"/>
          <w:iCs w:val="0"/>
          <w:color w:val="000000"/>
          <w:sz w:val="24"/>
          <w:szCs w:val="24"/>
          <w:highlight w:val="none"/>
          <w:lang w:val="en-US" w:eastAsia="zh-CN"/>
        </w:rPr>
        <w:t>0.05）；崔家杰</w:t>
      </w:r>
      <w:r>
        <w:rPr>
          <w:rFonts w:hint="eastAsia" w:ascii="宋体" w:hAnsi="宋体" w:cs="宋体"/>
          <w:b w:val="0"/>
          <w:bCs w:val="0"/>
          <w:i w:val="0"/>
          <w:iCs w:val="0"/>
          <w:color w:val="000000"/>
          <w:sz w:val="24"/>
          <w:szCs w:val="24"/>
          <w:highlight w:val="none"/>
          <w:lang w:val="en-US" w:eastAsia="zh-CN"/>
        </w:rPr>
        <w:t>等</w:t>
      </w:r>
      <w:r>
        <w:rPr>
          <w:rFonts w:hint="eastAsia" w:ascii="宋体" w:hAnsi="宋体" w:cs="宋体"/>
          <w:b w:val="0"/>
          <w:bCs w:val="0"/>
          <w:i w:val="0"/>
          <w:iCs w:val="0"/>
          <w:color w:val="000000"/>
          <w:sz w:val="24"/>
          <w:szCs w:val="24"/>
          <w:highlight w:val="none"/>
          <w:vertAlign w:val="superscript"/>
          <w:lang w:val="en-US" w:eastAsia="zh-CN"/>
        </w:rPr>
        <w:t>[10]</w:t>
      </w:r>
      <w:r>
        <w:rPr>
          <w:rFonts w:hint="eastAsia" w:ascii="宋体" w:hAnsi="宋体" w:cs="宋体"/>
          <w:b w:val="0"/>
          <w:bCs w:val="0"/>
          <w:i w:val="0"/>
          <w:iCs w:val="0"/>
          <w:color w:val="000000"/>
          <w:sz w:val="24"/>
          <w:szCs w:val="24"/>
          <w:highlight w:val="none"/>
          <w:lang w:val="en-US" w:eastAsia="zh-CN"/>
        </w:rPr>
        <w:t>研究了不同光色对樱桃谷肉鸭生长性能的影响，结果表明红光和白光组樱桃谷肉鸭的终末均重、平均日采食量和平均日增重显著高于其他光色组(</w:t>
      </w:r>
      <w:r>
        <w:rPr>
          <w:rFonts w:hint="eastAsia" w:ascii="宋体" w:hAnsi="宋体" w:cs="宋体"/>
          <w:b w:val="0"/>
          <w:bCs w:val="0"/>
          <w:i/>
          <w:iCs/>
          <w:color w:val="000000"/>
          <w:sz w:val="24"/>
          <w:szCs w:val="24"/>
          <w:highlight w:val="none"/>
          <w:lang w:val="en-US" w:eastAsia="zh-CN"/>
        </w:rPr>
        <w:t xml:space="preserve">P </w:t>
      </w:r>
      <w:r>
        <w:rPr>
          <w:rFonts w:hint="eastAsia" w:ascii="宋体" w:hAnsi="宋体" w:cs="宋体"/>
          <w:b w:val="0"/>
          <w:bCs w:val="0"/>
          <w:i w:val="0"/>
          <w:iCs w:val="0"/>
          <w:color w:val="000000"/>
          <w:sz w:val="24"/>
          <w:szCs w:val="24"/>
          <w:highlight w:val="none"/>
          <w:lang w:val="en-US" w:eastAsia="zh-CN"/>
        </w:rPr>
        <w:t>＜ 0.05)，蓝光组最低(</w:t>
      </w:r>
      <w:r>
        <w:rPr>
          <w:rFonts w:hint="eastAsia" w:ascii="宋体" w:hAnsi="宋体" w:cs="宋体"/>
          <w:b w:val="0"/>
          <w:bCs w:val="0"/>
          <w:i/>
          <w:iCs/>
          <w:color w:val="000000"/>
          <w:sz w:val="24"/>
          <w:szCs w:val="24"/>
          <w:highlight w:val="none"/>
          <w:lang w:val="en-US" w:eastAsia="zh-CN"/>
        </w:rPr>
        <w:t xml:space="preserve">P </w:t>
      </w:r>
      <w:r>
        <w:rPr>
          <w:rFonts w:hint="eastAsia" w:ascii="宋体" w:hAnsi="宋体" w:cs="宋体"/>
          <w:b w:val="0"/>
          <w:bCs w:val="0"/>
          <w:i w:val="0"/>
          <w:iCs w:val="0"/>
          <w:color w:val="000000"/>
          <w:sz w:val="24"/>
          <w:szCs w:val="24"/>
          <w:highlight w:val="none"/>
          <w:lang w:val="en-US" w:eastAsia="zh-CN"/>
        </w:rPr>
        <w:t>＜ 0.05)。蓝光组耗料增重比最低，白光和红光组最高，显著高于蓝光组(</w:t>
      </w:r>
      <w:r>
        <w:rPr>
          <w:rFonts w:hint="eastAsia" w:ascii="宋体" w:hAnsi="宋体" w:cs="宋体"/>
          <w:b w:val="0"/>
          <w:bCs w:val="0"/>
          <w:i/>
          <w:iCs/>
          <w:color w:val="000000"/>
          <w:sz w:val="24"/>
          <w:szCs w:val="24"/>
          <w:highlight w:val="none"/>
          <w:lang w:val="en-US" w:eastAsia="zh-CN"/>
        </w:rPr>
        <w:t xml:space="preserve">P </w:t>
      </w:r>
      <w:r>
        <w:rPr>
          <w:rFonts w:hint="eastAsia" w:ascii="宋体" w:hAnsi="宋体" w:cs="宋体"/>
          <w:b w:val="0"/>
          <w:bCs w:val="0"/>
          <w:i w:val="0"/>
          <w:iCs w:val="0"/>
          <w:color w:val="000000"/>
          <w:sz w:val="24"/>
          <w:szCs w:val="24"/>
          <w:highlight w:val="none"/>
          <w:lang w:val="en-US" w:eastAsia="zh-CN"/>
        </w:rPr>
        <w:t>＜ 0.05)， 但红光组与黄光和绿光组之间无显著差异(</w:t>
      </w:r>
      <w:r>
        <w:rPr>
          <w:rFonts w:hint="eastAsia" w:ascii="宋体" w:hAnsi="宋体" w:cs="宋体"/>
          <w:b w:val="0"/>
          <w:bCs w:val="0"/>
          <w:i/>
          <w:iCs/>
          <w:color w:val="000000"/>
          <w:sz w:val="24"/>
          <w:szCs w:val="24"/>
          <w:highlight w:val="none"/>
          <w:lang w:val="en-US" w:eastAsia="zh-CN"/>
        </w:rPr>
        <w:t xml:space="preserve">P </w:t>
      </w:r>
      <w:r>
        <w:rPr>
          <w:rFonts w:hint="eastAsia" w:ascii="宋体" w:hAnsi="宋体" w:cs="宋体"/>
          <w:b w:val="0"/>
          <w:bCs w:val="0"/>
          <w:i w:val="0"/>
          <w:iCs w:val="0"/>
          <w:color w:val="000000"/>
          <w:sz w:val="24"/>
          <w:szCs w:val="24"/>
          <w:highlight w:val="none"/>
          <w:lang w:val="en-US" w:eastAsia="zh-CN"/>
        </w:rPr>
        <w:t>＞ 0.05)。基于以上研究结果，结合生产实践经验，在保证肉鸭正常生长的前提下尽量减少能源消耗和养殖成本。本文件建议1日龄～7日龄光照强度宜为20 lx</w:t>
      </w:r>
      <w:r>
        <w:rPr>
          <w:rFonts w:hint="default" w:ascii="Times New Roman" w:hAnsi="Times New Roman" w:cs="Times New Roman"/>
          <w:b w:val="0"/>
          <w:bCs w:val="0"/>
          <w:i w:val="0"/>
          <w:iCs w:val="0"/>
          <w:color w:val="000000"/>
          <w:sz w:val="24"/>
          <w:szCs w:val="24"/>
          <w:highlight w:val="none"/>
          <w:lang w:val="en-US" w:eastAsia="zh-CN"/>
        </w:rPr>
        <w:t>~</w:t>
      </w:r>
      <w:r>
        <w:rPr>
          <w:rFonts w:hint="eastAsia" w:ascii="宋体" w:hAnsi="宋体" w:cs="宋体"/>
          <w:b w:val="0"/>
          <w:bCs w:val="0"/>
          <w:i w:val="0"/>
          <w:iCs w:val="0"/>
          <w:color w:val="000000"/>
          <w:sz w:val="24"/>
          <w:szCs w:val="24"/>
          <w:highlight w:val="none"/>
          <w:lang w:val="en-US" w:eastAsia="zh-CN"/>
        </w:rPr>
        <w:t>30 lx，光照时间为24 h；8日龄至出栏为10 lx</w:t>
      </w:r>
      <w:r>
        <w:rPr>
          <w:rFonts w:hint="default" w:ascii="Times New Roman" w:hAnsi="Times New Roman" w:cs="Times New Roman"/>
          <w:b w:val="0"/>
          <w:bCs w:val="0"/>
          <w:i w:val="0"/>
          <w:iCs w:val="0"/>
          <w:color w:val="000000"/>
          <w:sz w:val="24"/>
          <w:szCs w:val="24"/>
          <w:highlight w:val="none"/>
          <w:lang w:val="en-US" w:eastAsia="zh-CN"/>
        </w:rPr>
        <w:t>~</w:t>
      </w:r>
      <w:r>
        <w:rPr>
          <w:rFonts w:hint="eastAsia" w:ascii="宋体" w:hAnsi="宋体" w:cs="宋体"/>
          <w:b w:val="0"/>
          <w:bCs w:val="0"/>
          <w:i w:val="0"/>
          <w:iCs w:val="0"/>
          <w:color w:val="000000"/>
          <w:sz w:val="24"/>
          <w:szCs w:val="24"/>
          <w:highlight w:val="none"/>
          <w:lang w:val="en-US" w:eastAsia="zh-CN"/>
        </w:rPr>
        <w:t>20 lx，光照时间为23 h，光色选择白色。</w:t>
      </w:r>
    </w:p>
    <w:p w14:paraId="794480C8">
      <w:pPr>
        <w:pStyle w:val="22"/>
        <w:keepNext w:val="0"/>
        <w:keepLines w:val="0"/>
        <w:pageBreakBefore w:val="0"/>
        <w:kinsoku/>
        <w:wordWrap/>
        <w:overflowPunct/>
        <w:topLinePunct w:val="0"/>
        <w:bidi w:val="0"/>
        <w:adjustRightInd/>
        <w:snapToGrid/>
        <w:spacing w:line="360" w:lineRule="auto"/>
        <w:ind w:firstLine="482" w:firstLineChars="200"/>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b/>
          <w:bCs/>
          <w:color w:val="000000"/>
          <w:kern w:val="2"/>
          <w:sz w:val="24"/>
          <w:szCs w:val="24"/>
          <w:highlight w:val="none"/>
          <w:lang w:val="en-US" w:eastAsia="zh-CN" w:bidi="ar-SA"/>
        </w:rPr>
        <w:t>8.4</w:t>
      </w:r>
      <w:r>
        <w:rPr>
          <w:rFonts w:hint="eastAsia" w:ascii="Times New Roman" w:cs="Times New Roman" w:eastAsiaTheme="minorEastAsia"/>
          <w:b/>
          <w:bCs/>
          <w:color w:val="000000"/>
          <w:kern w:val="2"/>
          <w:sz w:val="24"/>
          <w:szCs w:val="24"/>
          <w:highlight w:val="none"/>
          <w:lang w:val="en-US" w:eastAsia="zh-CN" w:bidi="ar-SA"/>
        </w:rPr>
        <w:t xml:space="preserve"> </w:t>
      </w:r>
      <w:r>
        <w:rPr>
          <w:rFonts w:hint="eastAsia" w:ascii="Times New Roman" w:hAnsi="Times New Roman" w:cs="Times New Roman" w:eastAsiaTheme="minorEastAsia"/>
          <w:b/>
          <w:bCs/>
          <w:color w:val="000000"/>
          <w:kern w:val="2"/>
          <w:sz w:val="24"/>
          <w:szCs w:val="24"/>
          <w:highlight w:val="none"/>
          <w:lang w:val="en-US" w:eastAsia="zh-CN" w:bidi="ar-SA"/>
        </w:rPr>
        <w:t>通风</w:t>
      </w:r>
      <w:r>
        <w:rPr>
          <w:rFonts w:hint="eastAsia" w:ascii="Times New Roman" w:hAnsi="Times New Roman" w:cs="Times New Roman" w:eastAsiaTheme="minorEastAsia"/>
          <w:color w:val="000000"/>
          <w:kern w:val="2"/>
          <w:sz w:val="24"/>
          <w:szCs w:val="24"/>
          <w:highlight w:val="none"/>
          <w:lang w:val="en-US" w:eastAsia="zh-CN" w:bidi="ar-SA"/>
        </w:rPr>
        <w:t xml:space="preserve"> </w:t>
      </w:r>
    </w:p>
    <w:p w14:paraId="1F7D3671">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r>
        <w:rPr>
          <w:sz w:val="24"/>
          <w:szCs w:val="24"/>
          <w:highlight w:val="none"/>
        </w:rPr>
        <w:t>通风是调控舍内温度的有效措施，合理的通风方式能有效调控禽舍环境温度的变化范围，能为舍内提供新鲜的空气，排出舍内污浊的有害气体和微生物，避免舍内过于潮湿，改善空气环境质量；如果不能做到合理的调控，会使舍内空气流通受阻，产生通风死角，余热不能及时散出，严重时会引起家禽大量死亡。</w:t>
      </w:r>
      <w:r>
        <w:rPr>
          <w:rFonts w:hint="eastAsia"/>
          <w:sz w:val="24"/>
          <w:szCs w:val="24"/>
          <w:highlight w:val="none"/>
          <w:lang w:val="en-US" w:eastAsia="zh-CN"/>
        </w:rPr>
        <w:t>关于通风条件，</w:t>
      </w:r>
      <w:r>
        <w:rPr>
          <w:rFonts w:hint="eastAsia"/>
          <w:sz w:val="24"/>
          <w:szCs w:val="24"/>
          <w:highlight w:val="none"/>
        </w:rPr>
        <w:t>在1日龄至7日龄期间，通风应以保温为主，可以采用小风机进行间歇式通风，避免直吹鸭身，防止贼风侵入</w:t>
      </w:r>
      <w:r>
        <w:rPr>
          <w:rFonts w:hint="eastAsia"/>
          <w:sz w:val="24"/>
          <w:szCs w:val="24"/>
          <w:highlight w:val="none"/>
          <w:lang w:eastAsia="zh-CN"/>
        </w:rPr>
        <w:t>，</w:t>
      </w:r>
      <w:r>
        <w:rPr>
          <w:rFonts w:hint="eastAsia"/>
          <w:sz w:val="24"/>
          <w:szCs w:val="24"/>
          <w:highlight w:val="none"/>
          <w:lang w:val="en-US" w:eastAsia="zh-CN"/>
        </w:rPr>
        <w:t>此时通风平均风速不宜超过</w:t>
      </w:r>
      <w:r>
        <w:rPr>
          <w:rFonts w:hint="eastAsia"/>
          <w:sz w:val="24"/>
          <w:szCs w:val="24"/>
          <w:highlight w:val="none"/>
        </w:rPr>
        <w:t>0.30 m/</w:t>
      </w:r>
      <w:r>
        <w:rPr>
          <w:rFonts w:hint="eastAsia"/>
          <w:sz w:val="24"/>
          <w:szCs w:val="24"/>
          <w:highlight w:val="none"/>
          <w:lang w:val="en-US" w:eastAsia="zh-CN"/>
        </w:rPr>
        <w:t>s</w:t>
      </w:r>
      <w:r>
        <w:rPr>
          <w:rFonts w:hint="eastAsia"/>
          <w:sz w:val="24"/>
          <w:szCs w:val="24"/>
          <w:highlight w:val="none"/>
          <w:lang w:eastAsia="zh-CN"/>
        </w:rPr>
        <w:t>；</w:t>
      </w:r>
      <w:r>
        <w:rPr>
          <w:rFonts w:hint="eastAsia"/>
          <w:sz w:val="24"/>
          <w:szCs w:val="24"/>
          <w:highlight w:val="none"/>
        </w:rPr>
        <w:t>7日龄</w:t>
      </w:r>
      <w:r>
        <w:rPr>
          <w:rFonts w:hint="eastAsia"/>
          <w:sz w:val="24"/>
          <w:szCs w:val="24"/>
          <w:highlight w:val="none"/>
          <w:lang w:val="en-US" w:eastAsia="zh-CN"/>
        </w:rPr>
        <w:t>至14日龄，</w:t>
      </w:r>
      <w:r>
        <w:rPr>
          <w:rFonts w:hint="eastAsia"/>
          <w:sz w:val="24"/>
          <w:szCs w:val="24"/>
          <w:highlight w:val="none"/>
        </w:rPr>
        <w:t>在保持适宜温度的前提下，</w:t>
      </w:r>
      <w:r>
        <w:rPr>
          <w:rFonts w:hint="eastAsia"/>
          <w:sz w:val="24"/>
          <w:szCs w:val="24"/>
          <w:highlight w:val="none"/>
          <w:lang w:val="en-US" w:eastAsia="zh-CN"/>
        </w:rPr>
        <w:t>可以</w:t>
      </w:r>
      <w:r>
        <w:rPr>
          <w:rFonts w:hint="eastAsia"/>
          <w:sz w:val="24"/>
          <w:szCs w:val="24"/>
          <w:highlight w:val="none"/>
        </w:rPr>
        <w:t>逐渐增加通风量，以排出舍内的有害气体（如NH3、CO2等），增加氧气含量，保证鸭群健康</w:t>
      </w:r>
      <w:r>
        <w:rPr>
          <w:rFonts w:hint="eastAsia"/>
          <w:sz w:val="24"/>
          <w:szCs w:val="24"/>
          <w:highlight w:val="none"/>
          <w:lang w:eastAsia="zh-CN"/>
        </w:rPr>
        <w:t>，</w:t>
      </w:r>
      <w:r>
        <w:rPr>
          <w:rFonts w:hint="eastAsia"/>
          <w:sz w:val="24"/>
          <w:szCs w:val="24"/>
          <w:highlight w:val="none"/>
          <w:lang w:val="en-US" w:eastAsia="zh-CN"/>
        </w:rPr>
        <w:t>此时通风平均风速不宜超过</w:t>
      </w:r>
      <w:r>
        <w:rPr>
          <w:rFonts w:hint="eastAsia"/>
          <w:sz w:val="24"/>
          <w:szCs w:val="24"/>
          <w:highlight w:val="none"/>
        </w:rPr>
        <w:t>0.</w:t>
      </w:r>
      <w:r>
        <w:rPr>
          <w:rFonts w:hint="eastAsia"/>
          <w:sz w:val="24"/>
          <w:szCs w:val="24"/>
          <w:highlight w:val="none"/>
          <w:lang w:val="en-US" w:eastAsia="zh-CN"/>
        </w:rPr>
        <w:t>5</w:t>
      </w:r>
      <w:r>
        <w:rPr>
          <w:rFonts w:hint="eastAsia"/>
          <w:sz w:val="24"/>
          <w:szCs w:val="24"/>
          <w:highlight w:val="none"/>
        </w:rPr>
        <w:t>0 m/</w:t>
      </w:r>
      <w:r>
        <w:rPr>
          <w:rFonts w:hint="eastAsia"/>
          <w:sz w:val="24"/>
          <w:szCs w:val="24"/>
          <w:highlight w:val="none"/>
          <w:lang w:val="en-US" w:eastAsia="zh-CN"/>
        </w:rPr>
        <w:t>s</w:t>
      </w:r>
      <w:r>
        <w:rPr>
          <w:rFonts w:hint="eastAsia"/>
          <w:sz w:val="24"/>
          <w:szCs w:val="24"/>
          <w:highlight w:val="none"/>
          <w:lang w:eastAsia="zh-CN"/>
        </w:rPr>
        <w:t>；</w:t>
      </w:r>
      <w:r>
        <w:rPr>
          <w:rFonts w:hint="eastAsia"/>
          <w:sz w:val="24"/>
          <w:szCs w:val="24"/>
          <w:highlight w:val="none"/>
          <w:lang w:val="en-US" w:eastAsia="zh-CN"/>
        </w:rPr>
        <w:t>关于育肥期通风风速，前期开展了以下研究：</w:t>
      </w:r>
      <w:r>
        <w:rPr>
          <w:rFonts w:hint="eastAsia"/>
          <w:sz w:val="24"/>
          <w:szCs w:val="24"/>
          <w:highlight w:val="none"/>
          <w:lang w:eastAsia="zh-CN"/>
        </w:rPr>
        <w:t>（</w:t>
      </w:r>
      <w:r>
        <w:rPr>
          <w:rFonts w:hint="eastAsia"/>
          <w:sz w:val="24"/>
          <w:szCs w:val="24"/>
          <w:highlight w:val="none"/>
          <w:lang w:val="en-US" w:eastAsia="zh-CN"/>
        </w:rPr>
        <w:t>1</w:t>
      </w:r>
      <w:r>
        <w:rPr>
          <w:rFonts w:hint="eastAsia"/>
          <w:sz w:val="24"/>
          <w:szCs w:val="24"/>
          <w:highlight w:val="none"/>
          <w:lang w:eastAsia="zh-CN"/>
        </w:rPr>
        <w:t>）</w:t>
      </w:r>
      <w:r>
        <w:rPr>
          <w:sz w:val="24"/>
          <w:szCs w:val="24"/>
          <w:highlight w:val="none"/>
        </w:rPr>
        <w:t>冬季肉鸭层叠笼养育肥后期，舍内风速平均风速为0.3 m/s</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0.5</w:t>
      </w:r>
      <w:r>
        <w:rPr>
          <w:rFonts w:hint="eastAsia"/>
          <w:sz w:val="24"/>
          <w:szCs w:val="24"/>
          <w:highlight w:val="none"/>
          <w:lang w:val="en-US" w:eastAsia="zh-CN"/>
        </w:rPr>
        <w:t xml:space="preserve"> </w:t>
      </w:r>
      <w:r>
        <w:rPr>
          <w:sz w:val="24"/>
          <w:szCs w:val="24"/>
          <w:highlight w:val="none"/>
        </w:rPr>
        <w:t>m/s，CO</w:t>
      </w:r>
      <w:r>
        <w:rPr>
          <w:sz w:val="24"/>
          <w:szCs w:val="24"/>
          <w:highlight w:val="none"/>
          <w:vertAlign w:val="subscript"/>
        </w:rPr>
        <w:t>2</w:t>
      </w:r>
      <w:r>
        <w:rPr>
          <w:sz w:val="24"/>
          <w:szCs w:val="24"/>
          <w:highlight w:val="none"/>
        </w:rPr>
        <w:t>、NH</w:t>
      </w:r>
      <w:r>
        <w:rPr>
          <w:sz w:val="24"/>
          <w:szCs w:val="24"/>
          <w:highlight w:val="none"/>
          <w:vertAlign w:val="subscript"/>
        </w:rPr>
        <w:t>3</w:t>
      </w:r>
      <w:r>
        <w:rPr>
          <w:sz w:val="24"/>
          <w:szCs w:val="24"/>
          <w:highlight w:val="none"/>
        </w:rPr>
        <w:t>平均质量浓度波动范围分别为2039 mg/</w:t>
      </w:r>
      <w:r>
        <w:rPr>
          <w:rFonts w:hint="eastAsia"/>
          <w:sz w:val="24"/>
          <w:szCs w:val="24"/>
          <w:highlight w:val="none"/>
        </w:rPr>
        <w:t>m</w:t>
      </w:r>
      <w:r>
        <w:rPr>
          <w:sz w:val="24"/>
          <w:szCs w:val="24"/>
          <w:highlight w:val="none"/>
          <w:vertAlign w:val="superscript"/>
        </w:rPr>
        <w:t>3</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4527 mg/</w:t>
      </w:r>
      <w:r>
        <w:rPr>
          <w:rFonts w:hint="eastAsia"/>
          <w:sz w:val="24"/>
          <w:szCs w:val="24"/>
          <w:highlight w:val="none"/>
        </w:rPr>
        <w:t>m</w:t>
      </w:r>
      <w:r>
        <w:rPr>
          <w:sz w:val="24"/>
          <w:szCs w:val="24"/>
          <w:highlight w:val="none"/>
          <w:vertAlign w:val="superscript"/>
        </w:rPr>
        <w:t>3</w:t>
      </w:r>
      <w:r>
        <w:rPr>
          <w:sz w:val="24"/>
          <w:szCs w:val="24"/>
          <w:highlight w:val="none"/>
        </w:rPr>
        <w:t>、0.02 mg/</w:t>
      </w:r>
      <w:r>
        <w:rPr>
          <w:rFonts w:hint="eastAsia"/>
          <w:sz w:val="24"/>
          <w:szCs w:val="24"/>
          <w:highlight w:val="none"/>
        </w:rPr>
        <w:t xml:space="preserve"> m</w:t>
      </w:r>
      <w:r>
        <w:rPr>
          <w:sz w:val="24"/>
          <w:szCs w:val="24"/>
          <w:highlight w:val="none"/>
          <w:vertAlign w:val="superscript"/>
        </w:rPr>
        <w:t>3</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0.09 mg/</w:t>
      </w:r>
      <w:r>
        <w:rPr>
          <w:rFonts w:hint="eastAsia"/>
          <w:sz w:val="24"/>
          <w:szCs w:val="24"/>
          <w:highlight w:val="none"/>
        </w:rPr>
        <w:t xml:space="preserve"> m</w:t>
      </w:r>
      <w:r>
        <w:rPr>
          <w:sz w:val="24"/>
          <w:szCs w:val="24"/>
          <w:highlight w:val="none"/>
          <w:vertAlign w:val="superscript"/>
        </w:rPr>
        <w:t>3</w:t>
      </w:r>
      <w:r>
        <w:rPr>
          <w:sz w:val="24"/>
          <w:szCs w:val="24"/>
          <w:highlight w:val="none"/>
        </w:rPr>
        <w:t>，舍内温度波动范围11.35℃</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20.68℃</w:t>
      </w:r>
      <w:r>
        <w:rPr>
          <w:rFonts w:hint="eastAsia"/>
          <w:sz w:val="24"/>
          <w:szCs w:val="24"/>
          <w:highlight w:val="none"/>
        </w:rPr>
        <w:t>，空气相对湿度43.5%-83.00%，若风速小于</w:t>
      </w:r>
      <w:r>
        <w:rPr>
          <w:sz w:val="24"/>
          <w:szCs w:val="24"/>
          <w:highlight w:val="none"/>
        </w:rPr>
        <w:t>0.3 m/s</w:t>
      </w:r>
      <w:r>
        <w:rPr>
          <w:rFonts w:hint="eastAsia"/>
          <w:sz w:val="24"/>
          <w:szCs w:val="24"/>
          <w:highlight w:val="none"/>
        </w:rPr>
        <w:t>，则舍内</w:t>
      </w:r>
      <w:r>
        <w:rPr>
          <w:sz w:val="24"/>
          <w:szCs w:val="24"/>
          <w:highlight w:val="none"/>
        </w:rPr>
        <w:t>CO</w:t>
      </w:r>
      <w:r>
        <w:rPr>
          <w:sz w:val="24"/>
          <w:szCs w:val="24"/>
          <w:highlight w:val="none"/>
          <w:vertAlign w:val="subscript"/>
        </w:rPr>
        <w:t>2</w:t>
      </w:r>
      <w:r>
        <w:rPr>
          <w:sz w:val="24"/>
          <w:szCs w:val="24"/>
          <w:highlight w:val="none"/>
        </w:rPr>
        <w:t>质量浓度</w:t>
      </w:r>
      <w:r>
        <w:rPr>
          <w:rFonts w:hint="eastAsia"/>
          <w:sz w:val="24"/>
          <w:szCs w:val="24"/>
          <w:highlight w:val="none"/>
        </w:rPr>
        <w:t>将高于5000</w:t>
      </w:r>
      <w:r>
        <w:rPr>
          <w:sz w:val="24"/>
          <w:szCs w:val="24"/>
          <w:highlight w:val="none"/>
        </w:rPr>
        <w:t xml:space="preserve"> mg/</w:t>
      </w:r>
      <w:r>
        <w:rPr>
          <w:sz w:val="24"/>
          <w:szCs w:val="24"/>
          <w:highlight w:val="none"/>
          <w:vertAlign w:val="superscript"/>
        </w:rPr>
        <w:t>3</w:t>
      </w:r>
      <w:r>
        <w:rPr>
          <w:rFonts w:hint="eastAsia"/>
          <w:sz w:val="24"/>
          <w:szCs w:val="24"/>
          <w:highlight w:val="none"/>
        </w:rPr>
        <w:t>，空气相对湿度也将进一步</w:t>
      </w:r>
      <w:r>
        <w:rPr>
          <w:rFonts w:hint="eastAsia"/>
          <w:sz w:val="24"/>
          <w:szCs w:val="24"/>
          <w:highlight w:val="none"/>
          <w:lang w:val="en-US" w:eastAsia="zh-CN"/>
        </w:rPr>
        <w:t>升高</w:t>
      </w:r>
      <w:r>
        <w:rPr>
          <w:rFonts w:hint="eastAsia"/>
          <w:sz w:val="24"/>
          <w:szCs w:val="24"/>
          <w:highlight w:val="none"/>
        </w:rPr>
        <w:t>，对肉鸭生长与健康产生不利影响；</w:t>
      </w:r>
      <w:r>
        <w:rPr>
          <w:rFonts w:hint="eastAsia"/>
          <w:sz w:val="24"/>
          <w:szCs w:val="24"/>
          <w:highlight w:val="none"/>
          <w:lang w:eastAsia="zh-CN"/>
        </w:rPr>
        <w:t>（</w:t>
      </w:r>
      <w:r>
        <w:rPr>
          <w:rFonts w:hint="eastAsia"/>
          <w:sz w:val="24"/>
          <w:szCs w:val="24"/>
          <w:highlight w:val="none"/>
          <w:lang w:val="en-US" w:eastAsia="zh-CN"/>
        </w:rPr>
        <w:t>2</w:t>
      </w:r>
      <w:r>
        <w:rPr>
          <w:rFonts w:hint="eastAsia"/>
          <w:sz w:val="24"/>
          <w:szCs w:val="24"/>
          <w:highlight w:val="none"/>
          <w:lang w:eastAsia="zh-CN"/>
        </w:rPr>
        <w:t>）</w:t>
      </w:r>
      <w:r>
        <w:rPr>
          <w:rFonts w:hint="eastAsia"/>
          <w:sz w:val="24"/>
          <w:szCs w:val="24"/>
          <w:highlight w:val="none"/>
        </w:rPr>
        <w:t>秋季肉鸭育肥后期，舍内风速波动范围0.30 m/</w:t>
      </w:r>
      <w:r>
        <w:rPr>
          <w:rFonts w:hint="eastAsia"/>
          <w:sz w:val="24"/>
          <w:szCs w:val="24"/>
          <w:highlight w:val="none"/>
          <w:lang w:val="en-US" w:eastAsia="zh-CN"/>
        </w:rPr>
        <w:t>s</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0.81m/s时，</w:t>
      </w:r>
      <w:r>
        <w:rPr>
          <w:sz w:val="24"/>
          <w:szCs w:val="24"/>
          <w:highlight w:val="none"/>
        </w:rPr>
        <w:t>CO</w:t>
      </w:r>
      <w:r>
        <w:rPr>
          <w:sz w:val="24"/>
          <w:szCs w:val="24"/>
          <w:highlight w:val="none"/>
          <w:vertAlign w:val="subscript"/>
        </w:rPr>
        <w:t>2</w:t>
      </w:r>
      <w:r>
        <w:rPr>
          <w:sz w:val="24"/>
          <w:szCs w:val="24"/>
          <w:highlight w:val="none"/>
        </w:rPr>
        <w:t>、NH</w:t>
      </w:r>
      <w:r>
        <w:rPr>
          <w:sz w:val="24"/>
          <w:szCs w:val="24"/>
          <w:highlight w:val="none"/>
          <w:vertAlign w:val="subscript"/>
        </w:rPr>
        <w:t>3</w:t>
      </w:r>
      <w:r>
        <w:rPr>
          <w:sz w:val="24"/>
          <w:szCs w:val="24"/>
          <w:highlight w:val="none"/>
        </w:rPr>
        <w:t>平均质量浓度波动范围分别为</w:t>
      </w:r>
      <w:r>
        <w:rPr>
          <w:rFonts w:hint="eastAsia"/>
          <w:sz w:val="24"/>
          <w:szCs w:val="24"/>
          <w:highlight w:val="none"/>
        </w:rPr>
        <w:t>1462</w:t>
      </w:r>
      <w:r>
        <w:rPr>
          <w:sz w:val="24"/>
          <w:szCs w:val="24"/>
          <w:highlight w:val="none"/>
        </w:rPr>
        <w:t xml:space="preserve"> mg/</w:t>
      </w:r>
      <w:r>
        <w:rPr>
          <w:rFonts w:hint="eastAsia"/>
          <w:sz w:val="24"/>
          <w:szCs w:val="24"/>
          <w:highlight w:val="none"/>
        </w:rPr>
        <w:t xml:space="preserve"> m</w:t>
      </w:r>
      <w:r>
        <w:rPr>
          <w:sz w:val="24"/>
          <w:szCs w:val="24"/>
          <w:highlight w:val="none"/>
          <w:vertAlign w:val="superscript"/>
        </w:rPr>
        <w:t>3</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2798</w:t>
      </w:r>
      <w:r>
        <w:rPr>
          <w:sz w:val="24"/>
          <w:szCs w:val="24"/>
          <w:highlight w:val="none"/>
        </w:rPr>
        <w:t xml:space="preserve"> mg/</w:t>
      </w:r>
      <w:r>
        <w:rPr>
          <w:rFonts w:hint="eastAsia"/>
          <w:sz w:val="24"/>
          <w:szCs w:val="24"/>
          <w:highlight w:val="none"/>
        </w:rPr>
        <w:t>m</w:t>
      </w:r>
      <w:r>
        <w:rPr>
          <w:sz w:val="24"/>
          <w:szCs w:val="24"/>
          <w:highlight w:val="none"/>
          <w:vertAlign w:val="superscript"/>
        </w:rPr>
        <w:t>3</w:t>
      </w:r>
      <w:r>
        <w:rPr>
          <w:sz w:val="24"/>
          <w:szCs w:val="24"/>
          <w:highlight w:val="none"/>
        </w:rPr>
        <w:t>、0.0</w:t>
      </w:r>
      <w:r>
        <w:rPr>
          <w:rFonts w:hint="eastAsia"/>
          <w:sz w:val="24"/>
          <w:szCs w:val="24"/>
          <w:highlight w:val="none"/>
        </w:rPr>
        <w:t>5</w:t>
      </w:r>
      <w:r>
        <w:rPr>
          <w:sz w:val="24"/>
          <w:szCs w:val="24"/>
          <w:highlight w:val="none"/>
        </w:rPr>
        <w:t xml:space="preserve"> mg/</w:t>
      </w:r>
      <w:r>
        <w:rPr>
          <w:rFonts w:hint="eastAsia"/>
          <w:sz w:val="24"/>
          <w:szCs w:val="24"/>
          <w:highlight w:val="none"/>
        </w:rPr>
        <w:t>m</w:t>
      </w:r>
      <w:r>
        <w:rPr>
          <w:sz w:val="24"/>
          <w:szCs w:val="24"/>
          <w:highlight w:val="none"/>
          <w:vertAlign w:val="superscript"/>
        </w:rPr>
        <w:t>3</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0.0</w:t>
      </w:r>
      <w:r>
        <w:rPr>
          <w:rFonts w:hint="eastAsia"/>
          <w:sz w:val="24"/>
          <w:szCs w:val="24"/>
          <w:highlight w:val="none"/>
        </w:rPr>
        <w:t>87</w:t>
      </w:r>
      <w:r>
        <w:rPr>
          <w:sz w:val="24"/>
          <w:szCs w:val="24"/>
          <w:highlight w:val="none"/>
        </w:rPr>
        <w:t xml:space="preserve"> mg/</w:t>
      </w:r>
      <w:r>
        <w:rPr>
          <w:rFonts w:hint="eastAsia"/>
          <w:sz w:val="24"/>
          <w:szCs w:val="24"/>
          <w:highlight w:val="none"/>
        </w:rPr>
        <w:t xml:space="preserve"> m</w:t>
      </w:r>
      <w:r>
        <w:rPr>
          <w:sz w:val="24"/>
          <w:szCs w:val="24"/>
          <w:highlight w:val="none"/>
          <w:vertAlign w:val="superscript"/>
        </w:rPr>
        <w:t>3</w:t>
      </w:r>
      <w:r>
        <w:rPr>
          <w:sz w:val="24"/>
          <w:szCs w:val="24"/>
          <w:highlight w:val="none"/>
        </w:rPr>
        <w:t>，舍内温度1</w:t>
      </w:r>
      <w:r>
        <w:rPr>
          <w:rFonts w:hint="eastAsia"/>
          <w:sz w:val="24"/>
          <w:szCs w:val="24"/>
          <w:highlight w:val="none"/>
        </w:rPr>
        <w:t>5</w:t>
      </w:r>
      <w:r>
        <w:rPr>
          <w:sz w:val="24"/>
          <w:szCs w:val="24"/>
          <w:highlight w:val="none"/>
        </w:rPr>
        <w:t>.</w:t>
      </w:r>
      <w:r>
        <w:rPr>
          <w:rFonts w:hint="eastAsia"/>
          <w:sz w:val="24"/>
          <w:szCs w:val="24"/>
          <w:highlight w:val="none"/>
        </w:rPr>
        <w:t xml:space="preserve">98 </w:t>
      </w:r>
      <w:r>
        <w:rPr>
          <w:sz w:val="24"/>
          <w:szCs w:val="24"/>
          <w:highlight w:val="none"/>
        </w:rPr>
        <w:t>℃</w:t>
      </w:r>
      <w:r>
        <w:rPr>
          <w:rFonts w:hint="default" w:ascii="Times New Roman" w:hAnsi="Times New Roman" w:cs="Times New Roman"/>
          <w:b w:val="0"/>
          <w:bCs w:val="0"/>
          <w:i w:val="0"/>
          <w:iCs w:val="0"/>
          <w:color w:val="000000"/>
          <w:sz w:val="24"/>
          <w:szCs w:val="24"/>
          <w:highlight w:val="none"/>
          <w:lang w:val="en-US" w:eastAsia="zh-CN"/>
        </w:rPr>
        <w:t>~</w:t>
      </w:r>
      <w:r>
        <w:rPr>
          <w:sz w:val="24"/>
          <w:szCs w:val="24"/>
          <w:highlight w:val="none"/>
        </w:rPr>
        <w:t>2</w:t>
      </w:r>
      <w:r>
        <w:rPr>
          <w:rFonts w:hint="eastAsia"/>
          <w:sz w:val="24"/>
          <w:szCs w:val="24"/>
          <w:highlight w:val="none"/>
        </w:rPr>
        <w:t>4</w:t>
      </w:r>
      <w:r>
        <w:rPr>
          <w:sz w:val="24"/>
          <w:szCs w:val="24"/>
          <w:highlight w:val="none"/>
        </w:rPr>
        <w:t>.</w:t>
      </w:r>
      <w:r>
        <w:rPr>
          <w:rFonts w:hint="eastAsia"/>
          <w:sz w:val="24"/>
          <w:szCs w:val="24"/>
          <w:highlight w:val="none"/>
        </w:rPr>
        <w:t>85</w:t>
      </w:r>
      <w:r>
        <w:rPr>
          <w:sz w:val="24"/>
          <w:szCs w:val="24"/>
          <w:highlight w:val="none"/>
        </w:rPr>
        <w:t>℃</w:t>
      </w:r>
      <w:r>
        <w:rPr>
          <w:rFonts w:hint="eastAsia"/>
          <w:sz w:val="24"/>
          <w:szCs w:val="24"/>
          <w:highlight w:val="none"/>
        </w:rPr>
        <w:t>，空气相对湿度28.94%</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79.68%，能较好地控制舍内环境质量</w:t>
      </w:r>
      <w:r>
        <w:rPr>
          <w:rFonts w:hint="eastAsia"/>
          <w:sz w:val="24"/>
          <w:szCs w:val="24"/>
          <w:highlight w:val="none"/>
          <w:lang w:eastAsia="zh-CN"/>
        </w:rPr>
        <w:t>；（</w:t>
      </w:r>
      <w:r>
        <w:rPr>
          <w:rFonts w:hint="eastAsia"/>
          <w:sz w:val="24"/>
          <w:szCs w:val="24"/>
          <w:highlight w:val="none"/>
          <w:lang w:val="en-US" w:eastAsia="zh-CN"/>
        </w:rPr>
        <w:t>3</w:t>
      </w:r>
      <w:r>
        <w:rPr>
          <w:rFonts w:hint="eastAsia"/>
          <w:sz w:val="24"/>
          <w:szCs w:val="24"/>
          <w:highlight w:val="none"/>
          <w:lang w:eastAsia="zh-CN"/>
        </w:rPr>
        <w:t>）</w:t>
      </w:r>
      <w:r>
        <w:rPr>
          <w:rFonts w:hint="eastAsia"/>
          <w:sz w:val="24"/>
          <w:szCs w:val="24"/>
          <w:highlight w:val="none"/>
        </w:rPr>
        <w:t>夏季舍外温度17.6</w:t>
      </w:r>
      <w:r>
        <w:rPr>
          <w:sz w:val="24"/>
          <w:szCs w:val="24"/>
          <w:highlight w:val="none"/>
        </w:rPr>
        <w:t>℃</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36.6</w:t>
      </w:r>
      <w:r>
        <w:rPr>
          <w:sz w:val="24"/>
          <w:szCs w:val="24"/>
          <w:highlight w:val="none"/>
        </w:rPr>
        <w:t>℃</w:t>
      </w:r>
      <w:r>
        <w:rPr>
          <w:rFonts w:hint="eastAsia"/>
          <w:sz w:val="24"/>
          <w:szCs w:val="24"/>
          <w:highlight w:val="none"/>
        </w:rPr>
        <w:t xml:space="preserve">时，层叠笼养肉鸭舍平均风速1.05 </w:t>
      </w:r>
      <w:r>
        <w:rPr>
          <w:sz w:val="24"/>
          <w:szCs w:val="24"/>
          <w:highlight w:val="none"/>
        </w:rPr>
        <w:t>m/s</w:t>
      </w:r>
      <w:r>
        <w:rPr>
          <w:rFonts w:hint="eastAsia"/>
          <w:sz w:val="24"/>
          <w:szCs w:val="24"/>
          <w:highlight w:val="none"/>
        </w:rPr>
        <w:t>，</w:t>
      </w:r>
      <w:r>
        <w:rPr>
          <w:sz w:val="24"/>
          <w:szCs w:val="24"/>
          <w:highlight w:val="none"/>
        </w:rPr>
        <w:t>CO</w:t>
      </w:r>
      <w:r>
        <w:rPr>
          <w:sz w:val="24"/>
          <w:szCs w:val="24"/>
          <w:highlight w:val="none"/>
          <w:vertAlign w:val="subscript"/>
        </w:rPr>
        <w:t>2</w:t>
      </w:r>
      <w:r>
        <w:rPr>
          <w:sz w:val="24"/>
          <w:szCs w:val="24"/>
          <w:highlight w:val="none"/>
        </w:rPr>
        <w:t>平均质量浓度</w:t>
      </w:r>
      <w:r>
        <w:rPr>
          <w:rFonts w:hint="eastAsia"/>
          <w:sz w:val="24"/>
          <w:szCs w:val="24"/>
          <w:highlight w:val="none"/>
        </w:rPr>
        <w:t>为1161</w:t>
      </w:r>
      <w:r>
        <w:rPr>
          <w:sz w:val="24"/>
          <w:szCs w:val="24"/>
          <w:highlight w:val="none"/>
        </w:rPr>
        <w:t xml:space="preserve"> mg/</w:t>
      </w:r>
      <w:r>
        <w:rPr>
          <w:rFonts w:hint="eastAsia"/>
          <w:sz w:val="24"/>
          <w:szCs w:val="24"/>
          <w:highlight w:val="none"/>
        </w:rPr>
        <w:t xml:space="preserve"> m</w:t>
      </w:r>
      <w:r>
        <w:rPr>
          <w:sz w:val="24"/>
          <w:szCs w:val="24"/>
          <w:highlight w:val="none"/>
          <w:vertAlign w:val="superscript"/>
        </w:rPr>
        <w:t>3</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1685</w:t>
      </w:r>
      <w:r>
        <w:rPr>
          <w:sz w:val="24"/>
          <w:szCs w:val="24"/>
          <w:highlight w:val="none"/>
        </w:rPr>
        <w:t xml:space="preserve"> mg/</w:t>
      </w:r>
      <w:r>
        <w:rPr>
          <w:rFonts w:hint="eastAsia"/>
          <w:sz w:val="24"/>
          <w:szCs w:val="24"/>
          <w:highlight w:val="none"/>
        </w:rPr>
        <w:t>m</w:t>
      </w:r>
      <w:r>
        <w:rPr>
          <w:sz w:val="24"/>
          <w:szCs w:val="24"/>
          <w:highlight w:val="none"/>
          <w:vertAlign w:val="superscript"/>
        </w:rPr>
        <w:t>3</w:t>
      </w:r>
      <w:r>
        <w:rPr>
          <w:rFonts w:hint="eastAsia"/>
          <w:sz w:val="24"/>
          <w:szCs w:val="24"/>
          <w:highlight w:val="none"/>
        </w:rPr>
        <w:t>，舍内温度22.9</w:t>
      </w:r>
      <w:r>
        <w:rPr>
          <w:sz w:val="24"/>
          <w:szCs w:val="24"/>
          <w:highlight w:val="none"/>
        </w:rPr>
        <w:t>℃</w:t>
      </w:r>
      <w:r>
        <w:rPr>
          <w:rFonts w:hint="default" w:ascii="Times New Roman" w:hAnsi="Times New Roman" w:cs="Times New Roman"/>
          <w:b w:val="0"/>
          <w:bCs w:val="0"/>
          <w:i w:val="0"/>
          <w:iCs w:val="0"/>
          <w:color w:val="000000"/>
          <w:sz w:val="24"/>
          <w:szCs w:val="24"/>
          <w:highlight w:val="none"/>
          <w:lang w:val="en-US" w:eastAsia="zh-CN"/>
        </w:rPr>
        <w:t>~</w:t>
      </w:r>
      <w:r>
        <w:rPr>
          <w:rFonts w:hint="eastAsia"/>
          <w:sz w:val="24"/>
          <w:szCs w:val="24"/>
          <w:highlight w:val="none"/>
        </w:rPr>
        <w:t>30.9</w:t>
      </w:r>
      <w:r>
        <w:rPr>
          <w:sz w:val="24"/>
          <w:szCs w:val="24"/>
          <w:highlight w:val="none"/>
        </w:rPr>
        <w:t>℃</w:t>
      </w:r>
      <w:r>
        <w:rPr>
          <w:rFonts w:hint="eastAsia"/>
          <w:sz w:val="24"/>
          <w:szCs w:val="24"/>
          <w:highlight w:val="none"/>
        </w:rPr>
        <w:t>，此时风速分别提高0.1m/s、0.3m/s时，舍内平均温度可分别降低0.2</w:t>
      </w:r>
      <w:r>
        <w:rPr>
          <w:sz w:val="24"/>
          <w:szCs w:val="24"/>
          <w:highlight w:val="none"/>
        </w:rPr>
        <w:t>℃</w:t>
      </w:r>
      <w:r>
        <w:rPr>
          <w:rFonts w:hint="eastAsia"/>
          <w:sz w:val="24"/>
          <w:szCs w:val="24"/>
          <w:highlight w:val="none"/>
        </w:rPr>
        <w:t>、0.4</w:t>
      </w:r>
      <w:r>
        <w:rPr>
          <w:sz w:val="24"/>
          <w:szCs w:val="24"/>
          <w:highlight w:val="none"/>
        </w:rPr>
        <w:t>℃</w:t>
      </w:r>
      <w:r>
        <w:rPr>
          <w:rFonts w:hint="eastAsia"/>
          <w:sz w:val="24"/>
          <w:szCs w:val="24"/>
          <w:highlight w:val="none"/>
          <w:lang w:eastAsia="zh-CN"/>
        </w:rPr>
        <w:t>。</w:t>
      </w:r>
      <w:r>
        <w:rPr>
          <w:rFonts w:hint="eastAsia"/>
          <w:sz w:val="24"/>
          <w:szCs w:val="24"/>
          <w:highlight w:val="none"/>
        </w:rPr>
        <w:t>综合</w:t>
      </w:r>
      <w:r>
        <w:rPr>
          <w:rFonts w:hint="eastAsia"/>
          <w:sz w:val="24"/>
          <w:szCs w:val="24"/>
          <w:highlight w:val="none"/>
          <w:lang w:val="en-US" w:eastAsia="zh-CN"/>
        </w:rPr>
        <w:t>肉鸭生长情况、能耗控制等多种因素</w:t>
      </w:r>
      <w:r>
        <w:rPr>
          <w:rFonts w:hint="eastAsia"/>
          <w:sz w:val="24"/>
          <w:szCs w:val="24"/>
          <w:highlight w:val="none"/>
        </w:rPr>
        <w:t>，15日龄～出栏</w:t>
      </w:r>
      <w:r>
        <w:rPr>
          <w:rFonts w:hint="eastAsia"/>
          <w:sz w:val="24"/>
          <w:szCs w:val="24"/>
          <w:highlight w:val="none"/>
          <w:lang w:val="en-US" w:eastAsia="zh-CN"/>
        </w:rPr>
        <w:t>期间，舍内平均风速宜控制</w:t>
      </w:r>
      <w:r>
        <w:rPr>
          <w:rFonts w:hint="eastAsia"/>
          <w:sz w:val="24"/>
          <w:szCs w:val="24"/>
          <w:highlight w:val="none"/>
          <w:lang w:val="en-US" w:eastAsia="zh-CN"/>
        </w:rPr>
        <w:t>在0</w:t>
      </w:r>
      <w:r>
        <w:rPr>
          <w:rFonts w:hint="eastAsia"/>
          <w:sz w:val="24"/>
          <w:szCs w:val="24"/>
          <w:highlight w:val="none"/>
        </w:rPr>
        <w:t>.5</w:t>
      </w:r>
      <w:r>
        <w:rPr>
          <w:rFonts w:hint="eastAsia"/>
          <w:sz w:val="24"/>
          <w:szCs w:val="24"/>
          <w:highlight w:val="none"/>
          <w:lang w:val="en-US" w:eastAsia="zh-CN"/>
        </w:rPr>
        <w:t xml:space="preserve"> </w:t>
      </w:r>
      <w:r>
        <w:rPr>
          <w:rFonts w:hint="eastAsia"/>
          <w:sz w:val="24"/>
          <w:szCs w:val="24"/>
          <w:highlight w:val="none"/>
        </w:rPr>
        <w:t>m/s～2.0 m/s。</w:t>
      </w:r>
    </w:p>
    <w:p w14:paraId="6B4BC56E">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9</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疫病防治</w:t>
      </w:r>
      <w:bookmarkStart w:id="1" w:name="_GoBack"/>
      <w:bookmarkEnd w:id="1"/>
    </w:p>
    <w:p w14:paraId="16D5FF15">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default"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本文件对疫病防治</w:t>
      </w:r>
      <w:r>
        <w:rPr>
          <w:rFonts w:hint="eastAsia" w:cs="Times New Roman" w:eastAsiaTheme="minorEastAsia"/>
          <w:color w:val="000000"/>
          <w:kern w:val="2"/>
          <w:sz w:val="24"/>
          <w:szCs w:val="24"/>
          <w:highlight w:val="none"/>
          <w:lang w:val="en-US" w:eastAsia="zh-CN" w:bidi="ar-SA"/>
        </w:rPr>
        <w:t>中的</w:t>
      </w:r>
      <w:r>
        <w:rPr>
          <w:rFonts w:hint="eastAsia" w:ascii="Times New Roman" w:hAnsi="Times New Roman" w:cs="Times New Roman" w:eastAsiaTheme="minorEastAsia"/>
          <w:color w:val="000000"/>
          <w:kern w:val="2"/>
          <w:sz w:val="24"/>
          <w:szCs w:val="24"/>
          <w:highlight w:val="none"/>
          <w:lang w:val="en-US" w:eastAsia="zh-CN" w:bidi="ar-SA"/>
        </w:rPr>
        <w:t>消毒</w:t>
      </w:r>
      <w:r>
        <w:rPr>
          <w:rFonts w:hint="eastAsia"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免疫</w:t>
      </w:r>
      <w:r>
        <w:rPr>
          <w:rFonts w:hint="eastAsia" w:cs="Times New Roman" w:eastAsiaTheme="minorEastAsia"/>
          <w:color w:val="000000"/>
          <w:kern w:val="2"/>
          <w:sz w:val="24"/>
          <w:szCs w:val="24"/>
          <w:highlight w:val="none"/>
          <w:lang w:val="en-US" w:eastAsia="zh-CN" w:bidi="ar-SA"/>
        </w:rPr>
        <w:t>、</w:t>
      </w:r>
      <w:r>
        <w:rPr>
          <w:rFonts w:hint="eastAsia" w:ascii="Times New Roman" w:hAnsi="Times New Roman" w:cs="Times New Roman" w:eastAsiaTheme="minorEastAsia"/>
          <w:color w:val="000000"/>
          <w:kern w:val="2"/>
          <w:sz w:val="24"/>
          <w:szCs w:val="24"/>
          <w:highlight w:val="none"/>
          <w:lang w:val="en-US" w:eastAsia="zh-CN" w:bidi="ar-SA"/>
        </w:rPr>
        <w:t>废弃物收集与处理等3</w:t>
      </w:r>
      <w:r>
        <w:rPr>
          <w:rFonts w:hint="eastAsia" w:cs="Times New Roman" w:eastAsiaTheme="minorEastAsia"/>
          <w:color w:val="000000"/>
          <w:kern w:val="2"/>
          <w:sz w:val="24"/>
          <w:szCs w:val="24"/>
          <w:highlight w:val="none"/>
          <w:lang w:val="en-US" w:eastAsia="zh-CN" w:bidi="ar-SA"/>
        </w:rPr>
        <w:t>项</w:t>
      </w:r>
      <w:r>
        <w:rPr>
          <w:rFonts w:hint="eastAsia" w:ascii="Times New Roman" w:hAnsi="Times New Roman" w:cs="Times New Roman" w:eastAsiaTheme="minorEastAsia"/>
          <w:color w:val="000000"/>
          <w:kern w:val="2"/>
          <w:sz w:val="24"/>
          <w:szCs w:val="24"/>
          <w:highlight w:val="none"/>
          <w:lang w:val="en-US" w:eastAsia="zh-CN" w:bidi="ar-SA"/>
        </w:rPr>
        <w:t>指标进行了统一的规定，其中消毒的相关要求主要参考了《NY/T 3075 畜禽养殖场消毒技术》以及生产实践中消毒环节的技术要点</w:t>
      </w:r>
      <w:r>
        <w:rPr>
          <w:rFonts w:hint="eastAsia" w:cs="Times New Roman" w:eastAsiaTheme="minorEastAsia"/>
          <w:color w:val="000000"/>
          <w:kern w:val="2"/>
          <w:sz w:val="24"/>
          <w:szCs w:val="24"/>
          <w:highlight w:val="none"/>
          <w:lang w:val="en-US" w:eastAsia="zh-CN" w:bidi="ar-SA"/>
        </w:rPr>
        <w:t>，进雏前和出栏后应采用喷雾、熏蒸等方法对鸭舍、设备及场地环境进行彻底消毒，并严格执行全进全出模式</w:t>
      </w:r>
      <w:r>
        <w:rPr>
          <w:rFonts w:hint="eastAsia" w:ascii="Times New Roman" w:hAnsi="Times New Roman" w:cs="Times New Roman" w:eastAsiaTheme="minorEastAsia"/>
          <w:color w:val="000000"/>
          <w:kern w:val="2"/>
          <w:sz w:val="24"/>
          <w:szCs w:val="24"/>
          <w:highlight w:val="none"/>
          <w:lang w:val="en-US" w:eastAsia="zh-CN" w:bidi="ar-SA"/>
        </w:rPr>
        <w:t>；免疫应根据周边疫病发生特点及抗体水平，制定肉鸭免疫程序进行免疫</w:t>
      </w:r>
      <w:r>
        <w:rPr>
          <w:rFonts w:hint="eastAsia" w:cs="Times New Roman" w:eastAsiaTheme="minorEastAsia"/>
          <w:color w:val="000000"/>
          <w:kern w:val="2"/>
          <w:sz w:val="24"/>
          <w:szCs w:val="24"/>
          <w:highlight w:val="none"/>
          <w:lang w:val="en-US" w:eastAsia="zh-CN" w:bidi="ar-SA"/>
        </w:rPr>
        <w:t>，并</w:t>
      </w:r>
      <w:r>
        <w:rPr>
          <w:rFonts w:hint="eastAsia" w:ascii="Times New Roman" w:hAnsi="Times New Roman" w:cs="Times New Roman" w:eastAsiaTheme="minorEastAsia"/>
          <w:color w:val="000000"/>
          <w:kern w:val="2"/>
          <w:sz w:val="24"/>
          <w:szCs w:val="24"/>
          <w:highlight w:val="none"/>
          <w:lang w:val="en-US" w:eastAsia="zh-CN" w:bidi="ar-SA"/>
        </w:rPr>
        <w:t>定期开展疫病监测工作，常规监测的疫病至少应包括：高致病性禽流感、鸭瘟、鸭病毒性肝炎、鸭传染性浆膜炎等</w:t>
      </w:r>
      <w:r>
        <w:rPr>
          <w:rFonts w:hint="eastAsia" w:cs="Times New Roman" w:eastAsiaTheme="minorEastAsia"/>
          <w:color w:val="000000"/>
          <w:kern w:val="2"/>
          <w:sz w:val="24"/>
          <w:szCs w:val="24"/>
          <w:highlight w:val="none"/>
          <w:lang w:val="en-US" w:eastAsia="zh-CN" w:bidi="ar-SA"/>
        </w:rPr>
        <w:t>；治疗用药方面，应尽量减少兽药使用，确需使用兽药时,所选兽药质量应符合《中华人民共和国兽药典》的相关规定，并严格执行药物用量、用药时间和休药期等要求。</w:t>
      </w:r>
    </w:p>
    <w:p w14:paraId="62732F64">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eastAsiaTheme="minorEastAsia"/>
          <w:b/>
          <w:bCs/>
          <w:color w:val="000000"/>
          <w:sz w:val="24"/>
          <w:szCs w:val="24"/>
          <w:highlight w:val="none"/>
          <w:lang w:val="en-US" w:eastAsia="zh-CN"/>
        </w:rPr>
      </w:pPr>
      <w:r>
        <w:rPr>
          <w:rFonts w:hint="eastAsia" w:cs="Times New Roman" w:eastAsiaTheme="minorEastAsia"/>
          <w:b/>
          <w:bCs/>
          <w:color w:val="000000"/>
          <w:sz w:val="24"/>
          <w:szCs w:val="24"/>
          <w:highlight w:val="none"/>
          <w:lang w:val="en-US" w:eastAsia="zh-CN"/>
        </w:rPr>
        <w:t>10</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废弃物收集与处理</w:t>
      </w:r>
    </w:p>
    <w:p w14:paraId="1501ACA5">
      <w:pPr>
        <w:pStyle w:val="18"/>
        <w:keepNext w:val="0"/>
        <w:keepLines w:val="0"/>
        <w:pageBreakBefore w:val="0"/>
        <w:widowControl w:val="0"/>
        <w:kinsoku/>
        <w:wordWrap/>
        <w:overflowPunct/>
        <w:topLinePunct w:val="0"/>
        <w:autoSpaceDE/>
        <w:autoSpaceDN/>
        <w:bidi w:val="0"/>
        <w:adjustRightInd/>
        <w:snapToGrid/>
        <w:spacing w:line="360" w:lineRule="auto"/>
        <w:ind w:firstLine="643"/>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肉鸭生产中产生的废弃物主要是生产资料包装（兽药、疫苗、饲料等）、病死鸭以及粪污等3种类型，本文件针对3种类型废弃物的处理分别提出了具体的要求，其中饲料、疫苗、兽药等生产包装废弃物的回收处理和再利用应符合</w:t>
      </w:r>
      <w:r>
        <w:rPr>
          <w:rFonts w:hint="eastAsia" w:cs="Times New Roman" w:eastAsiaTheme="minorEastAsia"/>
          <w:color w:val="000000"/>
          <w:kern w:val="2"/>
          <w:sz w:val="24"/>
          <w:szCs w:val="24"/>
          <w:highlight w:val="none"/>
          <w:lang w:val="en-US" w:eastAsia="zh-CN" w:bidi="ar-SA"/>
        </w:rPr>
        <w:t>《GB/T 42550  农业废弃物资源化利用 农业生产资料包装废弃物处置和回收利用》</w:t>
      </w:r>
      <w:r>
        <w:rPr>
          <w:rFonts w:hint="eastAsia" w:ascii="Times New Roman" w:hAnsi="Times New Roman" w:cs="Times New Roman" w:eastAsiaTheme="minorEastAsia"/>
          <w:color w:val="000000"/>
          <w:kern w:val="2"/>
          <w:sz w:val="24"/>
          <w:szCs w:val="24"/>
          <w:highlight w:val="none"/>
          <w:lang w:val="en-US" w:eastAsia="zh-CN" w:bidi="ar-SA"/>
        </w:rPr>
        <w:t>的要求；病死鸭应及时收集、低温定点存放，根据《病死畜禽和病害畜禽产品无害化处理管理办法》的要求进行无害化处理；肉鸭粪污应日产日清、密封存储，及时进行无害化处理及资源化利用，污染物排放应符合</w:t>
      </w:r>
      <w:r>
        <w:rPr>
          <w:rFonts w:hint="eastAsia" w:cs="Times New Roman" w:eastAsiaTheme="minorEastAsia"/>
          <w:color w:val="000000"/>
          <w:kern w:val="2"/>
          <w:sz w:val="24"/>
          <w:szCs w:val="24"/>
          <w:highlight w:val="none"/>
          <w:lang w:val="en-US" w:eastAsia="zh-CN" w:bidi="ar-SA"/>
        </w:rPr>
        <w:t>《GB 18596  畜禽养殖业污染物排放标准》</w:t>
      </w:r>
      <w:r>
        <w:rPr>
          <w:rFonts w:hint="eastAsia" w:ascii="Times New Roman" w:hAnsi="Times New Roman" w:cs="Times New Roman" w:eastAsiaTheme="minorEastAsia"/>
          <w:color w:val="000000"/>
          <w:kern w:val="2"/>
          <w:sz w:val="24"/>
          <w:szCs w:val="24"/>
          <w:highlight w:val="none"/>
          <w:lang w:val="en-US" w:eastAsia="zh-CN" w:bidi="ar-SA"/>
        </w:rPr>
        <w:t>的要求。</w:t>
      </w:r>
    </w:p>
    <w:p w14:paraId="4B188244">
      <w:pPr>
        <w:pStyle w:val="1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eastAsiaTheme="minorEastAsia"/>
          <w:b/>
          <w:bCs/>
          <w:color w:val="000000"/>
          <w:sz w:val="24"/>
          <w:szCs w:val="24"/>
          <w:highlight w:val="none"/>
          <w:lang w:val="en-US" w:eastAsia="zh-CN"/>
        </w:rPr>
      </w:pPr>
      <w:r>
        <w:rPr>
          <w:rFonts w:hint="eastAsia" w:ascii="Times New Roman" w:hAnsi="Times New Roman" w:cs="Times New Roman" w:eastAsiaTheme="minorEastAsia"/>
          <w:b/>
          <w:bCs/>
          <w:color w:val="000000"/>
          <w:sz w:val="24"/>
          <w:szCs w:val="24"/>
          <w:highlight w:val="none"/>
          <w:lang w:val="en-US" w:eastAsia="zh-CN"/>
        </w:rPr>
        <w:t>1</w:t>
      </w:r>
      <w:r>
        <w:rPr>
          <w:rFonts w:hint="eastAsia" w:cs="Times New Roman" w:eastAsiaTheme="minorEastAsia"/>
          <w:b/>
          <w:bCs/>
          <w:color w:val="000000"/>
          <w:sz w:val="24"/>
          <w:szCs w:val="24"/>
          <w:highlight w:val="none"/>
          <w:lang w:val="en-US" w:eastAsia="zh-CN"/>
        </w:rPr>
        <w:t>1</w:t>
      </w:r>
      <w:r>
        <w:rPr>
          <w:rFonts w:hint="default" w:ascii="Times New Roman" w:hAnsi="Times New Roman" w:cs="Times New Roman" w:eastAsiaTheme="minorEastAsia"/>
          <w:b/>
          <w:bCs/>
          <w:color w:val="000000"/>
          <w:sz w:val="24"/>
          <w:szCs w:val="24"/>
          <w:highlight w:val="none"/>
          <w:lang w:val="en-US" w:eastAsia="zh-CN"/>
        </w:rPr>
        <w:t>.</w:t>
      </w:r>
      <w:r>
        <w:rPr>
          <w:rFonts w:hint="eastAsia" w:cs="Times New Roman" w:eastAsiaTheme="minorEastAsia"/>
          <w:b/>
          <w:bCs/>
          <w:color w:val="000000"/>
          <w:sz w:val="24"/>
          <w:szCs w:val="24"/>
          <w:highlight w:val="none"/>
          <w:lang w:val="en-US" w:eastAsia="zh-CN"/>
        </w:rPr>
        <w:t>档案记录</w:t>
      </w:r>
    </w:p>
    <w:p w14:paraId="1121A528">
      <w:pPr>
        <w:keepNext w:val="0"/>
        <w:keepLines w:val="0"/>
        <w:pageBreakBefore w:val="0"/>
        <w:kinsoku/>
        <w:wordWrap/>
        <w:overflowPunct/>
        <w:topLinePunct w:val="0"/>
        <w:bidi w:val="0"/>
        <w:adjustRightInd/>
        <w:snapToGrid/>
        <w:spacing w:line="360" w:lineRule="auto"/>
        <w:ind w:firstLine="480" w:firstLineChars="200"/>
        <w:jc w:val="left"/>
        <w:textAlignment w:val="auto"/>
        <w:rPr>
          <w:rFonts w:hint="eastAsia" w:ascii="Times New Roman" w:hAnsi="Times New Roman" w:cs="Times New Roman" w:eastAsiaTheme="minorEastAsia"/>
          <w:color w:val="000000"/>
          <w:kern w:val="2"/>
          <w:sz w:val="24"/>
          <w:szCs w:val="24"/>
          <w:highlight w:val="none"/>
          <w:lang w:val="en-US" w:eastAsia="zh-CN" w:bidi="ar-SA"/>
        </w:rPr>
      </w:pPr>
      <w:r>
        <w:rPr>
          <w:rFonts w:hint="eastAsia" w:ascii="Times New Roman" w:hAnsi="Times New Roman" w:cs="Times New Roman" w:eastAsiaTheme="minorEastAsia"/>
          <w:color w:val="000000"/>
          <w:kern w:val="2"/>
          <w:sz w:val="24"/>
          <w:szCs w:val="24"/>
          <w:highlight w:val="none"/>
          <w:lang w:val="en-US" w:eastAsia="zh-CN" w:bidi="ar-SA"/>
        </w:rPr>
        <w:t>关于肉鸭生产的</w:t>
      </w:r>
      <w:r>
        <w:rPr>
          <w:rFonts w:hint="eastAsia" w:cs="Times New Roman" w:eastAsiaTheme="minorEastAsia"/>
          <w:color w:val="000000"/>
          <w:kern w:val="2"/>
          <w:sz w:val="24"/>
          <w:szCs w:val="24"/>
          <w:highlight w:val="none"/>
          <w:lang w:val="en-US" w:eastAsia="zh-CN" w:bidi="ar-SA"/>
        </w:rPr>
        <w:t>档案</w:t>
      </w:r>
      <w:r>
        <w:rPr>
          <w:rFonts w:hint="eastAsia" w:ascii="Times New Roman" w:hAnsi="Times New Roman" w:cs="Times New Roman" w:eastAsiaTheme="minorEastAsia"/>
          <w:color w:val="000000"/>
          <w:kern w:val="2"/>
          <w:sz w:val="24"/>
          <w:szCs w:val="24"/>
          <w:highlight w:val="none"/>
          <w:lang w:val="en-US" w:eastAsia="zh-CN" w:bidi="ar-SA"/>
        </w:rPr>
        <w:t>记录</w:t>
      </w:r>
      <w:r>
        <w:rPr>
          <w:rFonts w:hint="eastAsia" w:cs="Times New Roman" w:eastAsiaTheme="minorEastAsia"/>
          <w:color w:val="000000"/>
          <w:kern w:val="2"/>
          <w:sz w:val="24"/>
          <w:szCs w:val="24"/>
          <w:highlight w:val="none"/>
          <w:lang w:val="en-US" w:eastAsia="zh-CN" w:bidi="ar-SA"/>
        </w:rPr>
        <w:t>按照</w:t>
      </w:r>
      <w:r>
        <w:rPr>
          <w:rFonts w:hint="eastAsia" w:ascii="Times New Roman" w:hAnsi="Times New Roman" w:cs="Times New Roman" w:eastAsiaTheme="minorEastAsia"/>
          <w:color w:val="000000"/>
          <w:sz w:val="24"/>
          <w:szCs w:val="24"/>
          <w:highlight w:val="none"/>
          <w:lang w:val="en-US" w:eastAsia="zh-CN"/>
        </w:rPr>
        <w:t>《NY/T 3445 畜禽养殖场档案规范》的相关</w:t>
      </w:r>
      <w:r>
        <w:rPr>
          <w:rFonts w:hint="eastAsia" w:cs="Times New Roman" w:eastAsiaTheme="minorEastAsia"/>
          <w:color w:val="000000"/>
          <w:sz w:val="24"/>
          <w:szCs w:val="24"/>
          <w:highlight w:val="none"/>
          <w:lang w:val="en-US" w:eastAsia="zh-CN"/>
        </w:rPr>
        <w:t>规定执行，确保全面真实可追溯，保存二年以上</w:t>
      </w:r>
      <w:r>
        <w:rPr>
          <w:rFonts w:hint="eastAsia" w:ascii="Times New Roman" w:hAnsi="Times New Roman" w:cs="Times New Roman" w:eastAsiaTheme="minorEastAsia"/>
          <w:color w:val="000000"/>
          <w:kern w:val="2"/>
          <w:sz w:val="24"/>
          <w:szCs w:val="24"/>
          <w:highlight w:val="none"/>
          <w:lang w:val="en-US" w:eastAsia="zh-CN" w:bidi="ar-SA"/>
        </w:rPr>
        <w:t>。</w:t>
      </w:r>
    </w:p>
    <w:p w14:paraId="6DB7C367">
      <w:pPr>
        <w:keepNext w:val="0"/>
        <w:keepLines w:val="0"/>
        <w:pageBreakBefore w:val="0"/>
        <w:kinsoku/>
        <w:wordWrap/>
        <w:overflowPunct/>
        <w:topLinePunct w:val="0"/>
        <w:bidi w:val="0"/>
        <w:adjustRightInd/>
        <w:snapToGrid/>
        <w:spacing w:line="360" w:lineRule="auto"/>
        <w:jc w:val="left"/>
        <w:textAlignment w:val="auto"/>
        <w:rPr>
          <w:rFonts w:hint="eastAsia" w:cs="Times New Roman" w:eastAsiaTheme="minorEastAsia"/>
          <w:b/>
          <w:bCs/>
          <w:color w:val="000000"/>
          <w:kern w:val="2"/>
          <w:sz w:val="24"/>
          <w:szCs w:val="24"/>
          <w:highlight w:val="none"/>
          <w:lang w:val="en-US" w:eastAsia="zh-CN" w:bidi="ar-SA"/>
        </w:rPr>
      </w:pPr>
      <w:r>
        <w:rPr>
          <w:rFonts w:hint="eastAsia" w:cs="Times New Roman" w:eastAsiaTheme="minorEastAsia"/>
          <w:b/>
          <w:bCs/>
          <w:color w:val="000000"/>
          <w:kern w:val="2"/>
          <w:sz w:val="24"/>
          <w:szCs w:val="24"/>
          <w:highlight w:val="none"/>
          <w:lang w:val="en-US" w:eastAsia="zh-CN" w:bidi="ar-SA"/>
        </w:rPr>
        <w:t>参考文献</w:t>
      </w:r>
    </w:p>
    <w:p w14:paraId="2A4B8274">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[1]</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林勇,代伟伟,夏礼如,等. 夏季不同环境控制方法对层叠式笼养肉鸭舍内环境的影响 [J/OL]. 中国家禽, 1（8）2024.</w:t>
      </w:r>
    </w:p>
    <w:p w14:paraId="75FF46F5">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[2]</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Wan, Y., Ma, R., Chai, L. et al. Determination of bacterial abundance and communities in the nipple drinking system of cascading cage layer houses[J]. Sci Rep 11, 19169 (2021).</w:t>
      </w:r>
    </w:p>
    <w:p w14:paraId="675B54A1">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[3]</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韩占兵,张红岩,张立恒,等. 层叠式笼养蛋鸡舍夏季环境参数测定与分析 [J]. 现代牧业, 2023, 7 (04): 8-12.</w:t>
      </w:r>
    </w:p>
    <w:p w14:paraId="067C768E">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[4]</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Qiongyi Cheng, Hao Li, Li Rong, Xiaolong Feng, Guoqiang Zhang, Baoming Li,Using CFD to assess the influence of ceiling deflector design on airflow distribution in hen house with tunnel ventilation[J],Computers and Electronics in Agriculture, 151,2018.</w:t>
      </w:r>
    </w:p>
    <w:p w14:paraId="7C141CD5">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[5]</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郗正林,刘俊岭,何宗亮. 江苏省肉鸭笼养不同规格笼型应用效果评价 [J]. 家禽科学, 2023, 45 (03): 34-40+44.</w:t>
      </w:r>
    </w:p>
    <w:p w14:paraId="12B59C41">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[6]</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 xml:space="preserve">孙培新. 环境温度和湿度对育肥期北京鸭生长性能和抗氧化机能的影响及其调节机制[D]. 中国农业科学院, 2020. </w:t>
      </w:r>
    </w:p>
    <w:p w14:paraId="2114B822">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[7]</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 xml:space="preserve">孙培新,申仲健,唐静,等. 环境温度对育肥期北京鸭生长性能和屠宰性能的影响[C] 中国畜牧兽医学会. 中国畜牧兽医学会2018年学术年会禽病学分会第十九次学术研讨会论文集. </w:t>
      </w:r>
    </w:p>
    <w:p w14:paraId="23B239B2">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[8]</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谢强. 光照强度对樱桃谷肉鸭生产性能及褪黑激素受体基因表达影响[D]. 华南农业大学, 2018.</w:t>
      </w:r>
    </w:p>
    <w:p w14:paraId="21D40604">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[9]</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辛海瑞,潘晓花,毕晔,等. 光照节律对北京鸭生产性能、屠宰性能和血液抗氧化功能的影响 [J]. 中国农业科学, 2016, 49 (23): 4638-4645.</w:t>
      </w:r>
    </w:p>
    <w:p w14:paraId="6CAD73A2">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both"/>
        <w:textAlignment w:val="auto"/>
        <w:rPr>
          <w:rFonts w:hint="default" w:ascii="Times New Roman" w:hAnsi="Times New Roman" w:eastAsia="宋体" w:cs="Times New Roman"/>
          <w:b w:val="0"/>
          <w:bCs w:val="0"/>
          <w:color w:val="000000"/>
          <w:kern w:val="2"/>
          <w:sz w:val="24"/>
          <w:szCs w:val="24"/>
          <w:highlight w:val="none"/>
          <w:lang w:val="en-US" w:eastAsia="zh-CN" w:bidi="ar-SA"/>
        </w:rPr>
      </w:pPr>
      <w:r>
        <w:rPr>
          <w:rFonts w:hint="default" w:ascii="Times New Roman" w:hAnsi="Times New Roman" w:eastAsia="宋体" w:cs="Times New Roman"/>
          <w:b w:val="0"/>
          <w:bCs w:val="0"/>
          <w:color w:val="000000"/>
          <w:kern w:val="2"/>
          <w:sz w:val="24"/>
          <w:szCs w:val="24"/>
          <w:highlight w:val="none"/>
          <w:lang w:val="en-US" w:eastAsia="zh-CN" w:bidi="ar-SA"/>
        </w:rPr>
        <w:t>[10]</w:t>
      </w:r>
      <w:r>
        <w:rPr>
          <w:rFonts w:hint="eastAsia" w:ascii="Times New Roman" w:hAnsi="Times New Roman" w:eastAsia="宋体" w:cs="Times New Roman"/>
          <w:b w:val="0"/>
          <w:bCs w:val="0"/>
          <w:color w:val="000000"/>
          <w:kern w:val="2"/>
          <w:sz w:val="24"/>
          <w:szCs w:val="24"/>
          <w:highlight w:val="none"/>
          <w:lang w:val="en-US" w:eastAsia="zh-CN" w:bidi="ar-SA"/>
        </w:rPr>
        <w:tab/>
      </w:r>
      <w:r>
        <w:rPr>
          <w:rFonts w:hint="default" w:ascii="Times New Roman" w:hAnsi="Times New Roman" w:eastAsia="宋体" w:cs="Times New Roman"/>
          <w:b w:val="0"/>
          <w:bCs w:val="0"/>
          <w:color w:val="000000"/>
          <w:kern w:val="2"/>
          <w:sz w:val="24"/>
          <w:szCs w:val="24"/>
          <w:highlight w:val="none"/>
          <w:lang w:val="en-US" w:eastAsia="zh-CN" w:bidi="ar-SA"/>
        </w:rPr>
        <w:t xml:space="preserve">崔家杰. 光色对樱桃谷肉鸭生长性能的影响[D]. 华南农业大学, 2019. </w:t>
      </w:r>
    </w:p>
    <w:p w14:paraId="508846FB">
      <w:pPr>
        <w:pStyle w:val="19"/>
        <w:adjustRightInd w:val="0"/>
        <w:spacing w:line="360" w:lineRule="auto"/>
        <w:ind w:firstLine="0" w:firstLineChars="0"/>
        <w:contextualSpacing/>
        <w:rPr>
          <w:rFonts w:ascii="黑体" w:hAnsi="黑体" w:eastAsia="黑体"/>
          <w:sz w:val="28"/>
          <w:szCs w:val="28"/>
          <w:highlight w:val="none"/>
        </w:rPr>
      </w:pPr>
      <w:r>
        <w:rPr>
          <w:rFonts w:hint="eastAsia" w:ascii="黑体" w:hAnsi="黑体" w:eastAsia="黑体"/>
          <w:sz w:val="28"/>
          <w:szCs w:val="28"/>
          <w:highlight w:val="none"/>
        </w:rPr>
        <w:t>七、</w:t>
      </w:r>
      <w:r>
        <w:rPr>
          <w:rFonts w:ascii="黑体" w:hAnsi="黑体" w:eastAsia="黑体"/>
          <w:sz w:val="28"/>
          <w:szCs w:val="28"/>
          <w:highlight w:val="none"/>
        </w:rPr>
        <w:t>标准中如果涉及专利，应有明确的知识产权说明</w:t>
      </w:r>
    </w:p>
    <w:p w14:paraId="76B1E3E0">
      <w:p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本标准未涉及相关专利。</w:t>
      </w:r>
    </w:p>
    <w:p w14:paraId="3C564A6A">
      <w:pPr>
        <w:rPr>
          <w:rFonts w:ascii="黑体" w:hAnsi="黑体" w:eastAsia="黑体" w:cs="Times New Roman"/>
          <w:kern w:val="0"/>
          <w:sz w:val="28"/>
          <w:szCs w:val="28"/>
          <w:highlight w:val="none"/>
        </w:rPr>
      </w:pPr>
      <w:r>
        <w:rPr>
          <w:rFonts w:hint="eastAsia" w:ascii="黑体" w:hAnsi="黑体" w:eastAsia="黑体" w:cs="Times New Roman"/>
          <w:kern w:val="0"/>
          <w:sz w:val="28"/>
          <w:szCs w:val="28"/>
          <w:highlight w:val="none"/>
        </w:rPr>
        <w:t>八、与相关法律法规和标准的关系</w:t>
      </w:r>
    </w:p>
    <w:p w14:paraId="23C3AB8F">
      <w:pPr>
        <w:pStyle w:val="19"/>
        <w:adjustRightInd w:val="0"/>
        <w:spacing w:line="360" w:lineRule="auto"/>
        <w:ind w:firstLine="480" w:firstLineChars="200"/>
        <w:contextualSpacing/>
        <w:rPr>
          <w:rFonts w:hint="eastAsia" w:eastAsia="宋体"/>
          <w:sz w:val="24"/>
          <w:szCs w:val="24"/>
          <w:highlight w:val="none"/>
          <w:lang w:eastAsia="zh-CN"/>
        </w:rPr>
      </w:pPr>
      <w:r>
        <w:rPr>
          <w:rFonts w:hint="eastAsia" w:eastAsia="宋体"/>
          <w:sz w:val="24"/>
          <w:szCs w:val="24"/>
          <w:highlight w:val="none"/>
          <w:lang w:eastAsia="zh-CN"/>
        </w:rPr>
        <w:t>在标准的制定过程中严格贯彻国家有关方针、政策、法律和规章，严格执行强制性国家标准和行业标准。与相关的各种基础标准相衔接，遵循政策性和协调统一性的原则。</w:t>
      </w:r>
    </w:p>
    <w:p w14:paraId="2D75FED0">
      <w:pPr>
        <w:pStyle w:val="19"/>
        <w:adjustRightInd w:val="0"/>
        <w:spacing w:line="360" w:lineRule="auto"/>
        <w:ind w:firstLine="0" w:firstLineChars="0"/>
        <w:contextualSpacing/>
        <w:rPr>
          <w:rFonts w:ascii="黑体" w:hAnsi="黑体" w:eastAsia="黑体"/>
          <w:sz w:val="28"/>
          <w:szCs w:val="28"/>
          <w:highlight w:val="none"/>
        </w:rPr>
      </w:pPr>
      <w:r>
        <w:rPr>
          <w:rFonts w:hint="eastAsia" w:ascii="黑体" w:hAnsi="黑体" w:eastAsia="黑体"/>
          <w:sz w:val="28"/>
          <w:szCs w:val="28"/>
          <w:highlight w:val="none"/>
          <w:lang w:val="en-US" w:eastAsia="zh-CN"/>
        </w:rPr>
        <w:t>九</w:t>
      </w:r>
      <w:r>
        <w:rPr>
          <w:rFonts w:hint="eastAsia" w:ascii="黑体" w:hAnsi="黑体" w:eastAsia="黑体"/>
          <w:sz w:val="28"/>
          <w:szCs w:val="28"/>
          <w:highlight w:val="none"/>
        </w:rPr>
        <w:t>、重大分歧意见的处理过程和依据</w:t>
      </w:r>
    </w:p>
    <w:p w14:paraId="40D09B61">
      <w:pPr>
        <w:spacing w:line="360" w:lineRule="auto"/>
        <w:ind w:firstLine="480" w:firstLineChars="200"/>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本标准的编写过程无重大分歧意见产生。</w:t>
      </w:r>
    </w:p>
    <w:p w14:paraId="53BF3CED">
      <w:pPr>
        <w:pStyle w:val="19"/>
        <w:adjustRightInd w:val="0"/>
        <w:spacing w:line="360" w:lineRule="auto"/>
        <w:ind w:firstLine="0" w:firstLineChars="0"/>
        <w:contextualSpacing/>
        <w:rPr>
          <w:rFonts w:ascii="黑体" w:hAnsi="黑体" w:eastAsia="黑体"/>
          <w:sz w:val="28"/>
          <w:szCs w:val="28"/>
          <w:highlight w:val="none"/>
        </w:rPr>
      </w:pPr>
      <w:r>
        <w:rPr>
          <w:rFonts w:hint="eastAsia" w:ascii="黑体" w:hAnsi="黑体" w:eastAsia="黑体"/>
          <w:sz w:val="28"/>
          <w:szCs w:val="28"/>
          <w:highlight w:val="none"/>
        </w:rPr>
        <w:t>十</w:t>
      </w:r>
      <w:r>
        <w:rPr>
          <w:rFonts w:ascii="黑体" w:hAnsi="黑体" w:eastAsia="黑体"/>
          <w:sz w:val="28"/>
          <w:szCs w:val="28"/>
          <w:highlight w:val="none"/>
        </w:rPr>
        <w:t>、贯彻标准的要求和</w:t>
      </w:r>
      <w:r>
        <w:rPr>
          <w:rFonts w:hint="eastAsia" w:ascii="黑体" w:hAnsi="黑体" w:eastAsia="黑体"/>
          <w:sz w:val="28"/>
          <w:szCs w:val="28"/>
          <w:highlight w:val="none"/>
        </w:rPr>
        <w:t>推广实施建议</w:t>
      </w:r>
    </w:p>
    <w:p w14:paraId="3896FD78">
      <w:pPr>
        <w:pStyle w:val="19"/>
        <w:adjustRightInd w:val="0"/>
        <w:spacing w:line="360" w:lineRule="auto"/>
        <w:ind w:firstLine="482" w:firstLineChars="200"/>
        <w:contextualSpacing/>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b/>
          <w:bCs/>
          <w:kern w:val="0"/>
          <w:sz w:val="24"/>
          <w:szCs w:val="24"/>
          <w:highlight w:val="none"/>
        </w:rPr>
        <w:t>（</w:t>
      </w:r>
      <w:r>
        <w:rPr>
          <w:rFonts w:hint="eastAsia" w:ascii="Times New Roman" w:cs="Times New Roman"/>
          <w:b/>
          <w:bCs/>
          <w:kern w:val="0"/>
          <w:sz w:val="24"/>
          <w:szCs w:val="24"/>
          <w:highlight w:val="none"/>
          <w:lang w:val="en-US" w:eastAsia="zh-CN"/>
        </w:rPr>
        <w:t>1</w:t>
      </w:r>
      <w:r>
        <w:rPr>
          <w:rFonts w:hint="eastAsia" w:ascii="Times New Roman" w:hAnsi="Times New Roman" w:eastAsia="宋体" w:cs="Times New Roman"/>
          <w:b/>
          <w:bCs/>
          <w:kern w:val="0"/>
          <w:sz w:val="24"/>
          <w:szCs w:val="24"/>
          <w:highlight w:val="none"/>
        </w:rPr>
        <w:t>）加强标准宣传和推广：</w:t>
      </w:r>
      <w:r>
        <w:rPr>
          <w:rFonts w:hint="eastAsia" w:ascii="Times New Roman" w:hAnsi="Times New Roman" w:eastAsia="宋体" w:cs="Times New Roman"/>
          <w:kern w:val="0"/>
          <w:sz w:val="24"/>
          <w:szCs w:val="24"/>
          <w:highlight w:val="none"/>
        </w:rPr>
        <w:t>建议有关行政主管部门、行业协会等单位参与标准的</w:t>
      </w:r>
      <w:r>
        <w:rPr>
          <w:rFonts w:hint="eastAsia" w:ascii="Times New Roman" w:cs="Times New Roman"/>
          <w:kern w:val="0"/>
          <w:sz w:val="24"/>
          <w:szCs w:val="24"/>
          <w:highlight w:val="none"/>
          <w:lang w:val="en-US" w:eastAsia="zh-CN"/>
        </w:rPr>
        <w:t>宣传</w:t>
      </w:r>
      <w:r>
        <w:rPr>
          <w:rFonts w:hint="eastAsia" w:ascii="Times New Roman" w:hAnsi="Times New Roman" w:eastAsia="宋体" w:cs="Times New Roman"/>
          <w:kern w:val="0"/>
          <w:sz w:val="24"/>
          <w:szCs w:val="24"/>
          <w:highlight w:val="none"/>
        </w:rPr>
        <w:t>和推广，提高标准的普及率。</w:t>
      </w:r>
    </w:p>
    <w:p w14:paraId="1ED91BC5">
      <w:pPr>
        <w:pStyle w:val="19"/>
        <w:adjustRightInd w:val="0"/>
        <w:spacing w:line="360" w:lineRule="auto"/>
        <w:ind w:firstLine="482" w:firstLineChars="200"/>
        <w:contextualSpacing/>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b/>
          <w:bCs/>
          <w:kern w:val="0"/>
          <w:sz w:val="24"/>
          <w:szCs w:val="24"/>
          <w:highlight w:val="none"/>
        </w:rPr>
        <w:t>（</w:t>
      </w:r>
      <w:r>
        <w:rPr>
          <w:rFonts w:hint="eastAsia" w:ascii="Times New Roman" w:cs="Times New Roman"/>
          <w:b/>
          <w:bCs/>
          <w:kern w:val="0"/>
          <w:sz w:val="24"/>
          <w:szCs w:val="24"/>
          <w:highlight w:val="none"/>
          <w:lang w:val="en-US" w:eastAsia="zh-CN"/>
        </w:rPr>
        <w:t>2</w:t>
      </w:r>
      <w:r>
        <w:rPr>
          <w:rFonts w:hint="eastAsia" w:ascii="Times New Roman" w:hAnsi="Times New Roman" w:eastAsia="宋体" w:cs="Times New Roman"/>
          <w:b/>
          <w:bCs/>
          <w:kern w:val="0"/>
          <w:sz w:val="24"/>
          <w:szCs w:val="24"/>
          <w:highlight w:val="none"/>
        </w:rPr>
        <w:t>）加强标准指导和培训：</w:t>
      </w:r>
      <w:r>
        <w:rPr>
          <w:rFonts w:hint="eastAsia" w:ascii="Times New Roman" w:hAnsi="Times New Roman" w:eastAsia="宋体" w:cs="Times New Roman"/>
          <w:kern w:val="0"/>
          <w:sz w:val="24"/>
          <w:szCs w:val="24"/>
          <w:highlight w:val="none"/>
        </w:rPr>
        <w:t>标准实施过程中，需要对肉鸭层叠式笼养企业进行技术指导和培训，帮助企业了解和掌握标准要求，确保标准的有效实施。</w:t>
      </w:r>
    </w:p>
    <w:p w14:paraId="35E902EB">
      <w:pPr>
        <w:pStyle w:val="19"/>
        <w:adjustRightInd w:val="0"/>
        <w:spacing w:line="360" w:lineRule="auto"/>
        <w:ind w:firstLine="482" w:firstLineChars="200"/>
        <w:contextualSpacing/>
        <w:rPr>
          <w:rFonts w:ascii="黑体" w:hAnsi="黑体" w:eastAsia="黑体"/>
          <w:sz w:val="28"/>
          <w:szCs w:val="28"/>
          <w:highlight w:val="none"/>
        </w:rPr>
      </w:pPr>
      <w:r>
        <w:rPr>
          <w:rFonts w:hint="eastAsia" w:ascii="Times New Roman" w:hAnsi="Times New Roman" w:eastAsia="宋体" w:cs="Times New Roman"/>
          <w:b/>
          <w:bCs/>
          <w:kern w:val="0"/>
          <w:sz w:val="24"/>
          <w:szCs w:val="24"/>
          <w:highlight w:val="none"/>
        </w:rPr>
        <w:t>（</w:t>
      </w:r>
      <w:r>
        <w:rPr>
          <w:rFonts w:hint="eastAsia" w:ascii="Times New Roman" w:cs="Times New Roman"/>
          <w:b/>
          <w:bCs/>
          <w:kern w:val="0"/>
          <w:sz w:val="24"/>
          <w:szCs w:val="24"/>
          <w:highlight w:val="none"/>
          <w:lang w:val="en-US" w:eastAsia="zh-CN"/>
        </w:rPr>
        <w:t>3</w:t>
      </w:r>
      <w:r>
        <w:rPr>
          <w:rFonts w:hint="eastAsia" w:ascii="Times New Roman" w:hAnsi="Times New Roman" w:eastAsia="宋体" w:cs="Times New Roman"/>
          <w:b/>
          <w:bCs/>
          <w:kern w:val="0"/>
          <w:sz w:val="24"/>
          <w:szCs w:val="24"/>
          <w:highlight w:val="none"/>
        </w:rPr>
        <w:t>）建立标准监督和评估机制：</w:t>
      </w:r>
      <w:r>
        <w:rPr>
          <w:rFonts w:hint="eastAsia" w:ascii="Times New Roman" w:hAnsi="Times New Roman" w:eastAsia="宋体" w:cs="Times New Roman"/>
          <w:kern w:val="0"/>
          <w:sz w:val="24"/>
          <w:szCs w:val="24"/>
          <w:highlight w:val="none"/>
        </w:rPr>
        <w:t>建议建立评估机制，定期评估标准的实施效果和存在的问题，及时修订和完善标准内容，确保标准的有效性和适应性。</w:t>
      </w:r>
      <w:r>
        <w:rPr>
          <w:rFonts w:hint="eastAsia" w:ascii="黑体" w:hAnsi="黑体" w:eastAsia="黑体"/>
          <w:sz w:val="28"/>
          <w:szCs w:val="28"/>
          <w:highlight w:val="none"/>
        </w:rPr>
        <w:t>十</w:t>
      </w:r>
      <w:r>
        <w:rPr>
          <w:rFonts w:hint="eastAsia" w:ascii="黑体" w:hAnsi="黑体" w:eastAsia="黑体"/>
          <w:sz w:val="28"/>
          <w:szCs w:val="28"/>
          <w:highlight w:val="none"/>
          <w:lang w:val="en-US" w:eastAsia="zh-CN"/>
        </w:rPr>
        <w:t>一</w:t>
      </w:r>
      <w:r>
        <w:rPr>
          <w:rFonts w:ascii="黑体" w:hAnsi="黑体" w:eastAsia="黑体"/>
          <w:sz w:val="28"/>
          <w:szCs w:val="28"/>
          <w:highlight w:val="none"/>
        </w:rPr>
        <w:t>、其他应当予以说明的事项</w:t>
      </w:r>
    </w:p>
    <w:p w14:paraId="34952BC1">
      <w:pPr>
        <w:spacing w:line="360" w:lineRule="auto"/>
        <w:ind w:firstLine="480" w:firstLineChars="200"/>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无。</w:t>
      </w:r>
    </w:p>
    <w:p w14:paraId="0B40425E">
      <w:pPr>
        <w:jc w:val="right"/>
        <w:rPr>
          <w:rFonts w:hint="eastAsia" w:eastAsia="宋体"/>
          <w:sz w:val="24"/>
          <w:highlight w:val="none"/>
          <w:lang w:eastAsia="zh-CN"/>
        </w:rPr>
      </w:pPr>
      <w:r>
        <w:rPr>
          <w:rFonts w:hint="eastAsia"/>
          <w:sz w:val="24"/>
          <w:highlight w:val="none"/>
        </w:rPr>
        <w:t>《肉鸭层叠式笼养管理技术规程》标准</w:t>
      </w:r>
      <w:r>
        <w:rPr>
          <w:rFonts w:hint="eastAsia"/>
          <w:sz w:val="24"/>
          <w:highlight w:val="none"/>
          <w:lang w:val="en-US" w:eastAsia="zh-CN"/>
        </w:rPr>
        <w:t>编制组</w:t>
      </w:r>
    </w:p>
    <w:p w14:paraId="428790B8">
      <w:pPr>
        <w:jc w:val="right"/>
        <w:rPr>
          <w:sz w:val="24"/>
          <w:highlight w:val="none"/>
        </w:rPr>
      </w:pPr>
      <w:r>
        <w:rPr>
          <w:rFonts w:hint="eastAsia"/>
          <w:sz w:val="24"/>
          <w:highlight w:val="none"/>
          <w:lang w:val="en-US" w:eastAsia="zh-CN"/>
        </w:rPr>
        <w:t>2024</w:t>
      </w:r>
      <w:r>
        <w:rPr>
          <w:rFonts w:hint="eastAsia"/>
          <w:sz w:val="24"/>
          <w:highlight w:val="none"/>
        </w:rPr>
        <w:t>年</w:t>
      </w:r>
      <w:r>
        <w:rPr>
          <w:rFonts w:hint="eastAsia"/>
          <w:sz w:val="24"/>
          <w:highlight w:val="none"/>
          <w:lang w:val="en-US" w:eastAsia="zh-CN"/>
        </w:rPr>
        <w:t>7</w:t>
      </w:r>
      <w:r>
        <w:rPr>
          <w:rFonts w:hint="eastAsia"/>
          <w:sz w:val="24"/>
          <w:highlight w:val="none"/>
        </w:rPr>
        <w:t>月</w:t>
      </w:r>
    </w:p>
    <w:p w14:paraId="27078C7E">
      <w:pPr>
        <w:spacing w:line="360" w:lineRule="auto"/>
        <w:jc w:val="left"/>
        <w:rPr>
          <w:rFonts w:hint="eastAsia" w:ascii="黑体" w:hAnsi="黑体" w:eastAsia="黑体"/>
          <w:sz w:val="28"/>
          <w:szCs w:val="28"/>
          <w:highlight w:val="none"/>
        </w:rPr>
      </w:pPr>
    </w:p>
    <w:bookmarkEnd w:id="0"/>
    <w:p w14:paraId="22B37DE0">
      <w:pPr>
        <w:jc w:val="right"/>
        <w:rPr>
          <w:sz w:val="24"/>
          <w:highlight w:val="none"/>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FZSSJW--GB1-0">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AdobeSongStd-Light-Identity-H">
    <w:altName w:val="Segoe Print"/>
    <w:panose1 w:val="00000000000000000000"/>
    <w:charset w:val="00"/>
    <w:family w:val="auto"/>
    <w:pitch w:val="default"/>
    <w:sig w:usb0="00000000" w:usb1="00000000" w:usb2="00000000" w:usb3="00000000" w:csb0="00000000" w:csb1="00000000"/>
  </w:font>
  <w:font w:name="TimesNew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0F14D">
    <w:pPr>
      <w:pStyle w:val="5"/>
      <w:jc w:val="center"/>
    </w:pPr>
    <w:r>
      <w:rPr>
        <w:sz w:val="1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147454749"/>
                  <w:docPartObj>
                    <w:docPartGallery w:val="autotext"/>
                  </w:docPartObj>
                </w:sdtPr>
                <w:sdtContent>
                  <w:p w14:paraId="4A68B6FB">
                    <w:pPr>
                      <w:pStyle w:val="5"/>
                      <w:jc w:val="center"/>
                    </w:pPr>
                    <w:r>
                      <w:fldChar w:fldCharType="begin"/>
                    </w:r>
                    <w:r>
                      <w:instrText xml:space="preserve">PAGE   \* MERGEFORMAT</w:instrText>
                    </w:r>
                    <w:r>
                      <w:fldChar w:fldCharType="separate"/>
                    </w:r>
                    <w:r>
                      <w:rPr>
                        <w:lang w:val="zh-CN"/>
                      </w:rPr>
                      <w:t>1</w:t>
                    </w:r>
                    <w:r>
                      <w:fldChar w:fldCharType="end"/>
                    </w:r>
                  </w:p>
                </w:sdtContent>
              </w:sdt>
              <w:p w14:paraId="14371509"/>
            </w:txbxContent>
          </v:textbox>
        </v:shape>
      </w:pict>
    </w:r>
  </w:p>
  <w:p w14:paraId="6F22DB7F">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2ZWRhZGVhM2FhM2NmN2Y5Njc2NGY3N2ZjNzY0MjIifQ=="/>
  </w:docVars>
  <w:rsids>
    <w:rsidRoot w:val="00AA5B4F"/>
    <w:rsid w:val="00022C31"/>
    <w:rsid w:val="001163F6"/>
    <w:rsid w:val="001C5BAA"/>
    <w:rsid w:val="002D0055"/>
    <w:rsid w:val="002D1917"/>
    <w:rsid w:val="00330306"/>
    <w:rsid w:val="00404AB0"/>
    <w:rsid w:val="00414D84"/>
    <w:rsid w:val="005B3B15"/>
    <w:rsid w:val="00632866"/>
    <w:rsid w:val="00653A67"/>
    <w:rsid w:val="00693A2C"/>
    <w:rsid w:val="00777D25"/>
    <w:rsid w:val="00796DAD"/>
    <w:rsid w:val="00882161"/>
    <w:rsid w:val="008C35C0"/>
    <w:rsid w:val="008E30B1"/>
    <w:rsid w:val="008F2578"/>
    <w:rsid w:val="00A12A57"/>
    <w:rsid w:val="00A95F8A"/>
    <w:rsid w:val="00AA5B4F"/>
    <w:rsid w:val="00BC29A1"/>
    <w:rsid w:val="00C02A50"/>
    <w:rsid w:val="00CA39A4"/>
    <w:rsid w:val="00CF3127"/>
    <w:rsid w:val="00CF721E"/>
    <w:rsid w:val="00D8152F"/>
    <w:rsid w:val="00E0542E"/>
    <w:rsid w:val="00F338C5"/>
    <w:rsid w:val="00F52622"/>
    <w:rsid w:val="0207445A"/>
    <w:rsid w:val="02367DD9"/>
    <w:rsid w:val="05792D74"/>
    <w:rsid w:val="05832305"/>
    <w:rsid w:val="05886F5B"/>
    <w:rsid w:val="05E8428D"/>
    <w:rsid w:val="072929C9"/>
    <w:rsid w:val="0A7C1898"/>
    <w:rsid w:val="0AD5598E"/>
    <w:rsid w:val="0B1D7EBC"/>
    <w:rsid w:val="0CAF69C1"/>
    <w:rsid w:val="0D8053A3"/>
    <w:rsid w:val="0F4937CA"/>
    <w:rsid w:val="101D1BD8"/>
    <w:rsid w:val="117B642A"/>
    <w:rsid w:val="136A01F6"/>
    <w:rsid w:val="14782116"/>
    <w:rsid w:val="170A09E6"/>
    <w:rsid w:val="179F59B6"/>
    <w:rsid w:val="17F365EC"/>
    <w:rsid w:val="18A55642"/>
    <w:rsid w:val="18B3705E"/>
    <w:rsid w:val="1A9E49C6"/>
    <w:rsid w:val="1B6E1D83"/>
    <w:rsid w:val="1B876DE8"/>
    <w:rsid w:val="1C7D6C93"/>
    <w:rsid w:val="1E8A0861"/>
    <w:rsid w:val="1EB12291"/>
    <w:rsid w:val="23096081"/>
    <w:rsid w:val="257104A3"/>
    <w:rsid w:val="25C464C7"/>
    <w:rsid w:val="271A39C3"/>
    <w:rsid w:val="275F5A8A"/>
    <w:rsid w:val="2812441D"/>
    <w:rsid w:val="2865639A"/>
    <w:rsid w:val="2B7D6204"/>
    <w:rsid w:val="2D5531B9"/>
    <w:rsid w:val="2D731C5B"/>
    <w:rsid w:val="2D77701E"/>
    <w:rsid w:val="2E352597"/>
    <w:rsid w:val="316912D3"/>
    <w:rsid w:val="35FE7E18"/>
    <w:rsid w:val="36E02326"/>
    <w:rsid w:val="382F4FD4"/>
    <w:rsid w:val="3B5113A2"/>
    <w:rsid w:val="3B9603ED"/>
    <w:rsid w:val="3D6C4990"/>
    <w:rsid w:val="3E126451"/>
    <w:rsid w:val="42F83D82"/>
    <w:rsid w:val="43500D29"/>
    <w:rsid w:val="45DC2425"/>
    <w:rsid w:val="49A079A8"/>
    <w:rsid w:val="4A6E2C61"/>
    <w:rsid w:val="4C9A0BE6"/>
    <w:rsid w:val="4E983EE5"/>
    <w:rsid w:val="4F2B1AD1"/>
    <w:rsid w:val="4FB818E3"/>
    <w:rsid w:val="519D0DA9"/>
    <w:rsid w:val="52293EE9"/>
    <w:rsid w:val="55150B71"/>
    <w:rsid w:val="55B25293"/>
    <w:rsid w:val="563D798B"/>
    <w:rsid w:val="566A6443"/>
    <w:rsid w:val="57974C31"/>
    <w:rsid w:val="5BAB5397"/>
    <w:rsid w:val="5D353AF2"/>
    <w:rsid w:val="5EFF1E04"/>
    <w:rsid w:val="5FCF1293"/>
    <w:rsid w:val="603D5158"/>
    <w:rsid w:val="61614D87"/>
    <w:rsid w:val="62FC59AB"/>
    <w:rsid w:val="63166CE8"/>
    <w:rsid w:val="63A728E8"/>
    <w:rsid w:val="657A414A"/>
    <w:rsid w:val="65D06126"/>
    <w:rsid w:val="65D35F78"/>
    <w:rsid w:val="66134265"/>
    <w:rsid w:val="678675E9"/>
    <w:rsid w:val="683661C3"/>
    <w:rsid w:val="68973193"/>
    <w:rsid w:val="68CE58C9"/>
    <w:rsid w:val="69392EAB"/>
    <w:rsid w:val="69543EF7"/>
    <w:rsid w:val="695E12F9"/>
    <w:rsid w:val="6BB821C1"/>
    <w:rsid w:val="6BC81CD4"/>
    <w:rsid w:val="6DC0149C"/>
    <w:rsid w:val="6F5108A3"/>
    <w:rsid w:val="70566167"/>
    <w:rsid w:val="740645D7"/>
    <w:rsid w:val="754937FF"/>
    <w:rsid w:val="76437D71"/>
    <w:rsid w:val="77335A85"/>
    <w:rsid w:val="78743289"/>
    <w:rsid w:val="792733C7"/>
    <w:rsid w:val="79B1195C"/>
    <w:rsid w:val="7B266D67"/>
    <w:rsid w:val="7D0243C2"/>
    <w:rsid w:val="7DC3536E"/>
    <w:rsid w:val="7F5E2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autoRedefine/>
    <w:qFormat/>
    <w:uiPriority w:val="9"/>
    <w:pPr>
      <w:keepNext/>
      <w:keepLines/>
      <w:spacing w:line="360" w:lineRule="auto"/>
      <w:ind w:firstLine="440" w:firstLineChars="200"/>
      <w:outlineLvl w:val="0"/>
    </w:pPr>
    <w:rPr>
      <w:rFonts w:ascii="仿宋" w:hAnsi="仿宋" w:eastAsia="黑体"/>
      <w:bCs/>
      <w:kern w:val="44"/>
      <w:sz w:val="22"/>
      <w:szCs w:val="44"/>
    </w:rPr>
  </w:style>
  <w:style w:type="paragraph" w:styleId="3">
    <w:name w:val="heading 2"/>
    <w:basedOn w:val="1"/>
    <w:next w:val="1"/>
    <w:link w:val="16"/>
    <w:autoRedefine/>
    <w:unhideWhenUsed/>
    <w:qFormat/>
    <w:uiPriority w:val="9"/>
    <w:pPr>
      <w:keepNext/>
      <w:keepLines/>
      <w:spacing w:line="360" w:lineRule="auto"/>
      <w:ind w:firstLine="442" w:firstLineChars="200"/>
      <w:outlineLvl w:val="1"/>
    </w:pPr>
    <w:rPr>
      <w:rFonts w:ascii="Cambria" w:hAnsi="Cambria" w:eastAsia="楷体"/>
      <w:b/>
      <w:bCs/>
      <w:sz w:val="22"/>
      <w:szCs w:val="32"/>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Indent 2"/>
    <w:basedOn w:val="1"/>
    <w:autoRedefine/>
    <w:qFormat/>
    <w:uiPriority w:val="0"/>
    <w:pPr>
      <w:adjustRightInd w:val="0"/>
      <w:spacing w:line="360" w:lineRule="atLeast"/>
      <w:ind w:firstLine="930"/>
      <w:jc w:val="left"/>
      <w:textAlignment w:val="baseline"/>
    </w:pPr>
    <w:rPr>
      <w:kern w:val="0"/>
      <w:sz w:val="24"/>
      <w:szCs w:val="20"/>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Strong"/>
    <w:basedOn w:val="10"/>
    <w:autoRedefine/>
    <w:qFormat/>
    <w:uiPriority w:val="22"/>
    <w:rPr>
      <w:b/>
    </w:rPr>
  </w:style>
  <w:style w:type="character" w:styleId="12">
    <w:name w:val="Emphasis"/>
    <w:basedOn w:val="10"/>
    <w:qFormat/>
    <w:uiPriority w:val="20"/>
    <w:rPr>
      <w:i/>
    </w:rPr>
  </w:style>
  <w:style w:type="character" w:customStyle="1" w:styleId="13">
    <w:name w:val="页眉 Char"/>
    <w:basedOn w:val="10"/>
    <w:link w:val="6"/>
    <w:autoRedefine/>
    <w:qFormat/>
    <w:uiPriority w:val="99"/>
    <w:rPr>
      <w:sz w:val="18"/>
      <w:szCs w:val="18"/>
    </w:rPr>
  </w:style>
  <w:style w:type="character" w:customStyle="1" w:styleId="14">
    <w:name w:val="页脚 Char"/>
    <w:basedOn w:val="10"/>
    <w:link w:val="5"/>
    <w:autoRedefine/>
    <w:qFormat/>
    <w:uiPriority w:val="99"/>
    <w:rPr>
      <w:sz w:val="18"/>
      <w:szCs w:val="18"/>
    </w:rPr>
  </w:style>
  <w:style w:type="character" w:customStyle="1" w:styleId="15">
    <w:name w:val="标题 1 Char"/>
    <w:basedOn w:val="10"/>
    <w:link w:val="2"/>
    <w:autoRedefine/>
    <w:qFormat/>
    <w:uiPriority w:val="9"/>
    <w:rPr>
      <w:rFonts w:ascii="仿宋" w:hAnsi="仿宋" w:eastAsia="黑体" w:cs="Times New Roman"/>
      <w:bCs/>
      <w:kern w:val="44"/>
      <w:sz w:val="22"/>
      <w:szCs w:val="44"/>
    </w:rPr>
  </w:style>
  <w:style w:type="character" w:customStyle="1" w:styleId="16">
    <w:name w:val="标题 2 Char"/>
    <w:basedOn w:val="10"/>
    <w:link w:val="3"/>
    <w:autoRedefine/>
    <w:qFormat/>
    <w:uiPriority w:val="9"/>
    <w:rPr>
      <w:rFonts w:ascii="Cambria" w:hAnsi="Cambria" w:eastAsia="楷体" w:cs="Times New Roman"/>
      <w:b/>
      <w:bCs/>
      <w:sz w:val="22"/>
      <w:szCs w:val="32"/>
    </w:rPr>
  </w:style>
  <w:style w:type="paragraph" w:customStyle="1" w:styleId="17">
    <w:name w:val="Default"/>
    <w:autoRedefine/>
    <w:qFormat/>
    <w:uiPriority w:val="0"/>
    <w:pPr>
      <w:widowControl w:val="0"/>
      <w:autoSpaceDE w:val="0"/>
      <w:autoSpaceDN w:val="0"/>
      <w:adjustRightInd w:val="0"/>
    </w:pPr>
    <w:rPr>
      <w:rFonts w:ascii="楷体" w:eastAsia="楷体" w:cs="楷体" w:hAnsiTheme="minorHAnsi"/>
      <w:color w:val="000000"/>
      <w:kern w:val="0"/>
      <w:sz w:val="24"/>
      <w:szCs w:val="24"/>
      <w:lang w:val="en-US" w:eastAsia="zh-CN" w:bidi="ar-SA"/>
    </w:rPr>
  </w:style>
  <w:style w:type="paragraph" w:styleId="18">
    <w:name w:val="List Paragraph"/>
    <w:basedOn w:val="1"/>
    <w:autoRedefine/>
    <w:qFormat/>
    <w:uiPriority w:val="34"/>
    <w:pPr>
      <w:ind w:firstLine="420" w:firstLineChars="200"/>
    </w:pPr>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20">
    <w:name w:val="Normal_2"/>
    <w:qFormat/>
    <w:uiPriority w:val="0"/>
    <w:pPr>
      <w:spacing w:before="120" w:after="240"/>
      <w:jc w:val="both"/>
    </w:pPr>
    <w:rPr>
      <w:rFonts w:ascii="Times New Roman" w:hAnsi="Times New Roman" w:eastAsia="Times New Roman" w:cs="Times New Roman"/>
      <w:kern w:val="0"/>
      <w:sz w:val="22"/>
      <w:szCs w:val="22"/>
      <w:lang w:val="en-US" w:eastAsia="en-US" w:bidi="ar-SA"/>
    </w:rPr>
  </w:style>
  <w:style w:type="character" w:customStyle="1" w:styleId="21">
    <w:name w:val="font21"/>
    <w:basedOn w:val="10"/>
    <w:qFormat/>
    <w:uiPriority w:val="0"/>
    <w:rPr>
      <w:rFonts w:hint="eastAsia" w:ascii="方正仿宋_GBK" w:hAnsi="方正仿宋_GBK" w:eastAsia="方正仿宋_GBK" w:cs="方正仿宋_GBK"/>
      <w:color w:val="000000"/>
      <w:sz w:val="22"/>
      <w:szCs w:val="22"/>
      <w:u w:val="none"/>
    </w:rPr>
  </w:style>
  <w:style w:type="paragraph" w:customStyle="1" w:styleId="2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fontstyle21"/>
    <w:qFormat/>
    <w:uiPriority w:val="0"/>
    <w:rPr>
      <w:rFonts w:hint="eastAsia" w:ascii="宋体" w:hAnsi="宋体" w:eastAsia="宋体" w:cs="宋体"/>
      <w:color w:val="000000"/>
      <w:sz w:val="22"/>
      <w:szCs w:val="22"/>
    </w:rPr>
  </w:style>
  <w:style w:type="character" w:customStyle="1" w:styleId="24">
    <w:name w:val="fontstyle01"/>
    <w:basedOn w:val="10"/>
    <w:qFormat/>
    <w:uiPriority w:val="0"/>
    <w:rPr>
      <w:rFonts w:ascii="黑体" w:hAnsi="宋体" w:eastAsia="黑体" w:cs="黑体"/>
      <w:color w:val="242021"/>
      <w:sz w:val="18"/>
      <w:szCs w:val="18"/>
    </w:rPr>
  </w:style>
  <w:style w:type="character" w:customStyle="1" w:styleId="25">
    <w:name w:val="fontstyle31"/>
    <w:basedOn w:val="10"/>
    <w:qFormat/>
    <w:uiPriority w:val="0"/>
    <w:rPr>
      <w:rFonts w:ascii="FZSSJW--GB1-0" w:hAnsi="FZSSJW--GB1-0" w:eastAsia="FZSSJW--GB1-0" w:cs="FZSSJW--GB1-0"/>
      <w:color w:val="242021"/>
      <w:sz w:val="18"/>
      <w:szCs w:val="18"/>
    </w:rPr>
  </w:style>
  <w:style w:type="character" w:customStyle="1" w:styleId="26">
    <w:name w:val="fontstyle41"/>
    <w:basedOn w:val="10"/>
    <w:qFormat/>
    <w:uiPriority w:val="0"/>
    <w:rPr>
      <w:rFonts w:ascii="TimesNewRomanPSMT" w:hAnsi="TimesNewRomanPSMT" w:eastAsia="TimesNewRomanPSMT" w:cs="TimesNewRomanPSMT"/>
      <w:color w:val="242021"/>
      <w:sz w:val="18"/>
      <w:szCs w:val="18"/>
    </w:rPr>
  </w:style>
  <w:style w:type="character" w:customStyle="1" w:styleId="27">
    <w:name w:val="fontstyle51"/>
    <w:basedOn w:val="10"/>
    <w:qFormat/>
    <w:uiPriority w:val="0"/>
    <w:rPr>
      <w:rFonts w:ascii="AdobeSongStd-Light-Identity-H" w:hAnsi="AdobeSongStd-Light-Identity-H" w:eastAsia="AdobeSongStd-Light-Identity-H" w:cs="AdobeSongStd-Light-Identity-H"/>
      <w:color w:val="242021"/>
      <w:sz w:val="18"/>
      <w:szCs w:val="18"/>
    </w:rPr>
  </w:style>
  <w:style w:type="character" w:customStyle="1" w:styleId="28">
    <w:name w:val="fontstyle11"/>
    <w:basedOn w:val="10"/>
    <w:qFormat/>
    <w:uiPriority w:val="0"/>
    <w:rPr>
      <w:rFonts w:ascii="TimesNewRoman" w:hAnsi="TimesNewRoman" w:eastAsia="TimesNewRoman" w:cs="TimesNewRoman"/>
      <w:color w:val="000000"/>
      <w:sz w:val="22"/>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17</Pages>
  <Words>6925</Words>
  <Characters>7750</Characters>
  <Lines>5</Lines>
  <Paragraphs>1</Paragraphs>
  <TotalTime>0</TotalTime>
  <ScaleCrop>false</ScaleCrop>
  <LinksUpToDate>false</LinksUpToDate>
  <CharactersWithSpaces>7861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2024-02-01T08:54:00Z</dcterms:created>
  <dc:creator>wyy</dc:creator>
  <cp:lastModifiedBy>pangmaoda</cp:lastModifiedBy>
  <cp:lastPrinted>2024-09-27T06:51:00Z</cp:lastPrinted>
  <dcterms:modified xsi:type="dcterms:W3CDTF">2024-10-29T02:41:04Z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19FE5C4311E94EB8AB2FCEB38CF3A99C_12</vt:lpwstr>
  </property>
</Properties>
</file>